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A2DB" w14:textId="77777777" w:rsidR="003F389A" w:rsidRPr="00073110" w:rsidRDefault="00F54227" w:rsidP="00F54227">
      <w:pPr>
        <w:pStyle w:val="40"/>
        <w:shd w:val="clear" w:color="auto" w:fill="auto"/>
        <w:spacing w:before="0" w:after="37" w:line="270" w:lineRule="exact"/>
        <w:ind w:left="40"/>
        <w:jc w:val="left"/>
        <w:rPr>
          <w:rFonts w:ascii="Verdana" w:hAnsi="Verdana"/>
          <w:b/>
          <w:sz w:val="20"/>
          <w:szCs w:val="24"/>
          <w:lang w:val="bg-BG"/>
        </w:rPr>
      </w:pPr>
      <w:r w:rsidRPr="00073110">
        <w:rPr>
          <w:rFonts w:ascii="Verdana" w:hAnsi="Verdana"/>
          <w:b/>
          <w:sz w:val="20"/>
          <w:szCs w:val="24"/>
          <w:lang w:val="bg-BG"/>
        </w:rPr>
        <w:t xml:space="preserve">УТВЪРДИЛ: </w:t>
      </w:r>
    </w:p>
    <w:p w14:paraId="19208759" w14:textId="77777777" w:rsidR="00F54227" w:rsidRPr="00073110" w:rsidRDefault="003F389A" w:rsidP="00F54227">
      <w:pPr>
        <w:pStyle w:val="40"/>
        <w:shd w:val="clear" w:color="auto" w:fill="auto"/>
        <w:spacing w:before="0" w:after="37" w:line="270" w:lineRule="exact"/>
        <w:ind w:left="40"/>
        <w:jc w:val="left"/>
        <w:rPr>
          <w:rFonts w:ascii="Verdana" w:hAnsi="Verdana"/>
          <w:b/>
          <w:sz w:val="20"/>
          <w:szCs w:val="24"/>
          <w:lang w:val="bg-BG"/>
        </w:rPr>
      </w:pPr>
      <w:r w:rsidRPr="00073110">
        <w:rPr>
          <w:rFonts w:ascii="Verdana" w:hAnsi="Verdana"/>
          <w:b/>
          <w:sz w:val="20"/>
          <w:szCs w:val="24"/>
          <w:lang w:val="bg-BG"/>
        </w:rPr>
        <w:t>Ирена Бориславова</w:t>
      </w:r>
    </w:p>
    <w:p w14:paraId="0FF5285E" w14:textId="77777777" w:rsidR="00F54227" w:rsidRPr="00073110" w:rsidRDefault="00F54227" w:rsidP="00F54227">
      <w:pPr>
        <w:pStyle w:val="30"/>
        <w:shd w:val="clear" w:color="auto" w:fill="auto"/>
        <w:spacing w:after="572"/>
        <w:ind w:left="40"/>
        <w:rPr>
          <w:b/>
          <w:sz w:val="20"/>
          <w:szCs w:val="20"/>
          <w:lang w:val="bg-BG"/>
        </w:rPr>
      </w:pPr>
      <w:r w:rsidRPr="00073110">
        <w:rPr>
          <w:b/>
          <w:sz w:val="20"/>
          <w:szCs w:val="20"/>
          <w:lang w:val="bg-BG"/>
        </w:rPr>
        <w:t>Изпълнителен директор на ИА БСА</w:t>
      </w:r>
    </w:p>
    <w:p w14:paraId="4B1A591E" w14:textId="77777777" w:rsidR="003F389A" w:rsidRPr="00073110" w:rsidRDefault="003F389A" w:rsidP="003F389A">
      <w:pPr>
        <w:pStyle w:val="NormalWeb"/>
        <w:jc w:val="center"/>
        <w:rPr>
          <w:rStyle w:val="Strong"/>
          <w:rFonts w:ascii="Verdana" w:hAnsi="Verdana"/>
          <w:sz w:val="22"/>
          <w:szCs w:val="20"/>
        </w:rPr>
      </w:pPr>
      <w:r w:rsidRPr="00073110">
        <w:rPr>
          <w:rStyle w:val="Strong"/>
          <w:rFonts w:ascii="Verdana" w:hAnsi="Verdana"/>
          <w:sz w:val="22"/>
          <w:szCs w:val="20"/>
        </w:rPr>
        <w:t xml:space="preserve">Подход на ИА БСА </w:t>
      </w:r>
    </w:p>
    <w:p w14:paraId="4CD9ABDD" w14:textId="77777777" w:rsidR="003F389A" w:rsidRPr="00073110" w:rsidRDefault="003F389A" w:rsidP="003F389A">
      <w:pPr>
        <w:pStyle w:val="NormalWeb"/>
        <w:jc w:val="center"/>
        <w:rPr>
          <w:rStyle w:val="Strong"/>
          <w:rFonts w:ascii="Verdana" w:hAnsi="Verdana"/>
          <w:sz w:val="22"/>
          <w:szCs w:val="20"/>
        </w:rPr>
      </w:pPr>
      <w:r w:rsidRPr="00073110">
        <w:rPr>
          <w:rStyle w:val="Strong"/>
          <w:rFonts w:ascii="Verdana" w:hAnsi="Verdana"/>
          <w:sz w:val="22"/>
          <w:szCs w:val="20"/>
        </w:rPr>
        <w:t xml:space="preserve">за провеждане на преход от акредитация съгласно </w:t>
      </w:r>
    </w:p>
    <w:p w14:paraId="55A32090" w14:textId="77777777" w:rsidR="003F389A" w:rsidRPr="00073110" w:rsidRDefault="00073110" w:rsidP="00073110">
      <w:pPr>
        <w:pStyle w:val="NormalWeb"/>
        <w:jc w:val="center"/>
        <w:rPr>
          <w:rStyle w:val="Strong"/>
          <w:rFonts w:ascii="Verdana" w:hAnsi="Verdana"/>
          <w:sz w:val="22"/>
          <w:szCs w:val="20"/>
        </w:rPr>
      </w:pPr>
      <w:r w:rsidRPr="00073110">
        <w:rPr>
          <w:rStyle w:val="Strong"/>
          <w:rFonts w:ascii="Verdana" w:hAnsi="Verdana"/>
          <w:sz w:val="22"/>
          <w:szCs w:val="20"/>
        </w:rPr>
        <w:t>ISO 15189:2012</w:t>
      </w:r>
      <w:r w:rsidR="003F389A" w:rsidRPr="00073110">
        <w:rPr>
          <w:rStyle w:val="Strong"/>
          <w:rFonts w:ascii="Verdana" w:hAnsi="Verdana"/>
          <w:sz w:val="22"/>
          <w:szCs w:val="20"/>
        </w:rPr>
        <w:t xml:space="preserve"> към акредитация съгласно </w:t>
      </w:r>
      <w:r w:rsidRPr="00073110">
        <w:rPr>
          <w:rStyle w:val="Strong"/>
          <w:rFonts w:ascii="Verdana" w:hAnsi="Verdana"/>
          <w:sz w:val="22"/>
          <w:szCs w:val="20"/>
        </w:rPr>
        <w:t>ISO 15189:2022</w:t>
      </w:r>
    </w:p>
    <w:p w14:paraId="6E252800" w14:textId="77777777" w:rsidR="00DF17EC" w:rsidRPr="00073110" w:rsidRDefault="00DF17EC" w:rsidP="00481DC8">
      <w:pPr>
        <w:jc w:val="both"/>
        <w:rPr>
          <w:rFonts w:ascii="Verdana" w:hAnsi="Verdana"/>
          <w:b/>
          <w:sz w:val="20"/>
          <w:szCs w:val="20"/>
          <w:lang w:val="en-US"/>
        </w:rPr>
      </w:pPr>
    </w:p>
    <w:p w14:paraId="227C7339" w14:textId="77777777" w:rsidR="00AC084F" w:rsidRPr="00073110" w:rsidRDefault="00AC084F" w:rsidP="001D2FD0">
      <w:pPr>
        <w:numPr>
          <w:ilvl w:val="0"/>
          <w:numId w:val="13"/>
        </w:numPr>
        <w:jc w:val="both"/>
        <w:rPr>
          <w:rFonts w:ascii="Verdana" w:hAnsi="Verdana"/>
          <w:b/>
          <w:sz w:val="20"/>
          <w:szCs w:val="20"/>
        </w:rPr>
      </w:pPr>
      <w:r w:rsidRPr="00073110">
        <w:rPr>
          <w:rFonts w:ascii="Verdana" w:hAnsi="Verdana"/>
          <w:b/>
          <w:sz w:val="20"/>
          <w:szCs w:val="20"/>
        </w:rPr>
        <w:t>Въведение</w:t>
      </w:r>
    </w:p>
    <w:p w14:paraId="1B5D28DA" w14:textId="77777777" w:rsidR="003F389A" w:rsidRPr="00073110" w:rsidRDefault="003F389A" w:rsidP="00481DC8">
      <w:pPr>
        <w:jc w:val="both"/>
        <w:rPr>
          <w:rFonts w:ascii="Verdana" w:hAnsi="Verdana"/>
          <w:b/>
          <w:sz w:val="20"/>
          <w:szCs w:val="20"/>
        </w:rPr>
      </w:pPr>
    </w:p>
    <w:p w14:paraId="5FF4F02F" w14:textId="77777777" w:rsidR="003F389A" w:rsidRPr="00073110" w:rsidRDefault="003F389A" w:rsidP="003F389A">
      <w:pPr>
        <w:pStyle w:val="NormalWeb"/>
        <w:jc w:val="both"/>
        <w:rPr>
          <w:rFonts w:ascii="Verdana" w:hAnsi="Verdana"/>
          <w:b/>
          <w:color w:val="FF0000"/>
          <w:sz w:val="20"/>
          <w:szCs w:val="20"/>
        </w:rPr>
      </w:pPr>
      <w:r w:rsidRPr="00073110">
        <w:rPr>
          <w:rFonts w:ascii="Verdana" w:hAnsi="Verdana"/>
          <w:sz w:val="20"/>
          <w:szCs w:val="20"/>
        </w:rPr>
        <w:t>На страницата на Международната организация по ста</w:t>
      </w:r>
      <w:r w:rsidR="00073110" w:rsidRPr="00073110">
        <w:rPr>
          <w:rFonts w:ascii="Verdana" w:hAnsi="Verdana"/>
          <w:sz w:val="20"/>
          <w:szCs w:val="20"/>
        </w:rPr>
        <w:t xml:space="preserve">ндартизация (ISO) на 06.12.2022 </w:t>
      </w:r>
      <w:r w:rsidRPr="00073110">
        <w:rPr>
          <w:rFonts w:ascii="Verdana" w:hAnsi="Verdana"/>
          <w:sz w:val="20"/>
          <w:szCs w:val="20"/>
        </w:rPr>
        <w:t>г.</w:t>
      </w:r>
      <w:r w:rsidR="00073110" w:rsidRPr="00073110">
        <w:rPr>
          <w:rFonts w:ascii="Verdana" w:hAnsi="Verdana"/>
          <w:sz w:val="20"/>
          <w:szCs w:val="20"/>
        </w:rPr>
        <w:t xml:space="preserve"> </w:t>
      </w:r>
      <w:r w:rsidRPr="00073110">
        <w:rPr>
          <w:rFonts w:ascii="Verdana" w:hAnsi="Verdana"/>
          <w:sz w:val="20"/>
          <w:szCs w:val="20"/>
        </w:rPr>
        <w:t xml:space="preserve">e публикуван стандарт </w:t>
      </w:r>
      <w:r w:rsidR="00073110" w:rsidRPr="00073110">
        <w:rPr>
          <w:rFonts w:ascii="Verdana" w:hAnsi="Verdana"/>
          <w:sz w:val="20"/>
          <w:szCs w:val="20"/>
        </w:rPr>
        <w:t xml:space="preserve">ISO 15189:2022 </w:t>
      </w:r>
      <w:proofErr w:type="spellStart"/>
      <w:r w:rsidR="00073110" w:rsidRPr="00073110">
        <w:rPr>
          <w:rFonts w:ascii="Verdana" w:hAnsi="Verdana"/>
          <w:sz w:val="20"/>
          <w:szCs w:val="20"/>
        </w:rPr>
        <w:t>Medical</w:t>
      </w:r>
      <w:proofErr w:type="spellEnd"/>
      <w:r w:rsidR="00073110" w:rsidRPr="00073110">
        <w:rPr>
          <w:rFonts w:ascii="Verdana" w:hAnsi="Verdana"/>
          <w:sz w:val="20"/>
          <w:szCs w:val="20"/>
        </w:rPr>
        <w:t xml:space="preserve"> </w:t>
      </w:r>
      <w:proofErr w:type="spellStart"/>
      <w:r w:rsidR="00073110" w:rsidRPr="00073110">
        <w:rPr>
          <w:rFonts w:ascii="Verdana" w:hAnsi="Verdana"/>
          <w:sz w:val="20"/>
          <w:szCs w:val="20"/>
        </w:rPr>
        <w:t>Laboratories</w:t>
      </w:r>
      <w:proofErr w:type="spellEnd"/>
      <w:r w:rsidR="00073110" w:rsidRPr="00073110">
        <w:rPr>
          <w:rFonts w:ascii="Verdana" w:hAnsi="Verdana"/>
          <w:sz w:val="20"/>
          <w:szCs w:val="20"/>
        </w:rPr>
        <w:t xml:space="preserve"> – </w:t>
      </w:r>
      <w:proofErr w:type="spellStart"/>
      <w:r w:rsidR="00073110" w:rsidRPr="00073110">
        <w:rPr>
          <w:rFonts w:ascii="Verdana" w:hAnsi="Verdana"/>
          <w:sz w:val="20"/>
          <w:szCs w:val="20"/>
        </w:rPr>
        <w:t>Requirements</w:t>
      </w:r>
      <w:proofErr w:type="spellEnd"/>
      <w:r w:rsidR="00073110" w:rsidRPr="00073110">
        <w:rPr>
          <w:rFonts w:ascii="Verdana" w:hAnsi="Verdana"/>
          <w:sz w:val="20"/>
          <w:szCs w:val="20"/>
        </w:rPr>
        <w:t xml:space="preserve"> </w:t>
      </w:r>
      <w:proofErr w:type="spellStart"/>
      <w:r w:rsidR="00073110" w:rsidRPr="00073110">
        <w:rPr>
          <w:rFonts w:ascii="Verdana" w:hAnsi="Verdana"/>
          <w:sz w:val="20"/>
          <w:szCs w:val="20"/>
        </w:rPr>
        <w:t>for</w:t>
      </w:r>
      <w:proofErr w:type="spellEnd"/>
      <w:r w:rsidR="00073110" w:rsidRPr="00073110">
        <w:rPr>
          <w:rFonts w:ascii="Verdana" w:hAnsi="Verdana"/>
          <w:sz w:val="20"/>
          <w:szCs w:val="20"/>
        </w:rPr>
        <w:t xml:space="preserve"> </w:t>
      </w:r>
      <w:proofErr w:type="spellStart"/>
      <w:r w:rsidR="00073110" w:rsidRPr="00073110">
        <w:rPr>
          <w:rFonts w:ascii="Verdana" w:hAnsi="Verdana"/>
          <w:sz w:val="20"/>
          <w:szCs w:val="20"/>
        </w:rPr>
        <w:t>quality</w:t>
      </w:r>
      <w:proofErr w:type="spellEnd"/>
      <w:r w:rsidR="00073110" w:rsidRPr="00073110">
        <w:rPr>
          <w:rFonts w:ascii="Verdana" w:hAnsi="Verdana"/>
          <w:sz w:val="20"/>
          <w:szCs w:val="20"/>
        </w:rPr>
        <w:t xml:space="preserve"> and </w:t>
      </w:r>
      <w:proofErr w:type="spellStart"/>
      <w:r w:rsidR="00073110" w:rsidRPr="00073110">
        <w:rPr>
          <w:rFonts w:ascii="Verdana" w:hAnsi="Verdana"/>
          <w:sz w:val="20"/>
          <w:szCs w:val="20"/>
        </w:rPr>
        <w:t>competence</w:t>
      </w:r>
      <w:proofErr w:type="spellEnd"/>
      <w:r w:rsidR="00073110" w:rsidRPr="00073110">
        <w:rPr>
          <w:rFonts w:ascii="Verdana" w:hAnsi="Verdana"/>
          <w:sz w:val="20"/>
          <w:szCs w:val="20"/>
        </w:rPr>
        <w:t xml:space="preserve"> (Медицински лаборатории. Изисквания за качество и компетентност)</w:t>
      </w:r>
      <w:r w:rsidRPr="00073110">
        <w:rPr>
          <w:rFonts w:ascii="Verdana" w:hAnsi="Verdana"/>
          <w:color w:val="FF0000"/>
          <w:sz w:val="20"/>
          <w:szCs w:val="20"/>
        </w:rPr>
        <w:t xml:space="preserve"> </w:t>
      </w:r>
      <w:r w:rsidRPr="00073110">
        <w:rPr>
          <w:rFonts w:ascii="Verdana" w:hAnsi="Verdana"/>
          <w:sz w:val="20"/>
          <w:szCs w:val="20"/>
        </w:rPr>
        <w:t>(</w:t>
      </w:r>
      <w:hyperlink r:id="rId8" w:history="1">
        <w:r w:rsidR="00073110" w:rsidRPr="00073110">
          <w:rPr>
            <w:rStyle w:val="Hyperlink"/>
            <w:rFonts w:ascii="Verdana" w:hAnsi="Verdana"/>
            <w:sz w:val="20"/>
            <w:szCs w:val="20"/>
          </w:rPr>
          <w:t>https://www.iso.org/standard/76677.html</w:t>
        </w:r>
      </w:hyperlink>
      <w:r w:rsidRPr="00073110">
        <w:rPr>
          <w:rFonts w:ascii="Verdana" w:hAnsi="Verdana"/>
          <w:sz w:val="20"/>
          <w:szCs w:val="20"/>
        </w:rPr>
        <w:t>).</w:t>
      </w:r>
      <w:r w:rsidRPr="00073110">
        <w:rPr>
          <w:rFonts w:ascii="Verdana" w:hAnsi="Verdana"/>
          <w:color w:val="FF0000"/>
          <w:sz w:val="20"/>
          <w:szCs w:val="20"/>
        </w:rPr>
        <w:t xml:space="preserve"> </w:t>
      </w:r>
      <w:r w:rsidRPr="00073110">
        <w:rPr>
          <w:rFonts w:ascii="Verdana" w:hAnsi="Verdana"/>
          <w:sz w:val="20"/>
          <w:szCs w:val="20"/>
        </w:rPr>
        <w:t xml:space="preserve">Той отменя и заменя </w:t>
      </w:r>
      <w:r w:rsidR="00073110" w:rsidRPr="00073110">
        <w:rPr>
          <w:rFonts w:ascii="Verdana" w:hAnsi="Verdana"/>
          <w:sz w:val="20"/>
          <w:szCs w:val="20"/>
        </w:rPr>
        <w:t>ISO 15189:2012 и ISO 22870:2016.</w:t>
      </w:r>
    </w:p>
    <w:p w14:paraId="52AF35BB" w14:textId="77777777" w:rsidR="00B96C2A" w:rsidRDefault="003F389A" w:rsidP="003F389A">
      <w:pPr>
        <w:pStyle w:val="NormalWeb"/>
        <w:jc w:val="both"/>
        <w:rPr>
          <w:rFonts w:ascii="Verdana" w:hAnsi="Verdana"/>
          <w:b/>
          <w:sz w:val="20"/>
          <w:szCs w:val="20"/>
        </w:rPr>
      </w:pPr>
      <w:r w:rsidRPr="00073110">
        <w:rPr>
          <w:rFonts w:ascii="Verdana" w:hAnsi="Verdana"/>
          <w:b/>
          <w:sz w:val="20"/>
          <w:szCs w:val="20"/>
        </w:rPr>
        <w:t xml:space="preserve">Стандартът </w:t>
      </w:r>
      <w:r w:rsidR="00073110" w:rsidRPr="00073110">
        <w:rPr>
          <w:rFonts w:ascii="Verdana" w:hAnsi="Verdana"/>
          <w:b/>
          <w:sz w:val="20"/>
          <w:szCs w:val="20"/>
        </w:rPr>
        <w:t>ISO 15189:2022</w:t>
      </w:r>
      <w:r w:rsidRPr="00073110">
        <w:rPr>
          <w:rFonts w:ascii="Verdana" w:hAnsi="Verdana"/>
          <w:b/>
          <w:sz w:val="20"/>
          <w:szCs w:val="20"/>
        </w:rPr>
        <w:t xml:space="preserve"> отменя и заменя </w:t>
      </w:r>
      <w:r w:rsidR="00073110" w:rsidRPr="00073110">
        <w:rPr>
          <w:rFonts w:ascii="Verdana" w:hAnsi="Verdana"/>
          <w:b/>
          <w:sz w:val="20"/>
          <w:szCs w:val="20"/>
        </w:rPr>
        <w:t>ISO 15189:2012</w:t>
      </w:r>
      <w:r w:rsidR="00B96C2A">
        <w:rPr>
          <w:rFonts w:ascii="Verdana" w:hAnsi="Verdana"/>
          <w:b/>
          <w:sz w:val="20"/>
          <w:szCs w:val="20"/>
        </w:rPr>
        <w:t>.</w:t>
      </w:r>
    </w:p>
    <w:p w14:paraId="26AD2E09" w14:textId="77777777" w:rsidR="003F389A" w:rsidRPr="00073110" w:rsidRDefault="00B96C2A" w:rsidP="003F389A">
      <w:pPr>
        <w:pStyle w:val="NormalWeb"/>
        <w:jc w:val="both"/>
        <w:rPr>
          <w:rFonts w:ascii="Verdana" w:hAnsi="Verdana"/>
          <w:b/>
          <w:sz w:val="20"/>
          <w:szCs w:val="20"/>
        </w:rPr>
      </w:pPr>
      <w:r w:rsidRPr="00073110">
        <w:rPr>
          <w:rFonts w:ascii="Verdana" w:hAnsi="Verdana"/>
          <w:b/>
          <w:sz w:val="20"/>
          <w:szCs w:val="20"/>
        </w:rPr>
        <w:t>Стандартът ISO 15189:2022 отменя и заменя</w:t>
      </w:r>
      <w:r w:rsidR="00073110" w:rsidRPr="00073110">
        <w:rPr>
          <w:rFonts w:ascii="Verdana" w:hAnsi="Verdana"/>
          <w:b/>
          <w:sz w:val="20"/>
          <w:szCs w:val="20"/>
        </w:rPr>
        <w:t xml:space="preserve"> ISO 22870:2016</w:t>
      </w:r>
      <w:r>
        <w:rPr>
          <w:rFonts w:ascii="Verdana" w:hAnsi="Verdana"/>
          <w:b/>
          <w:sz w:val="20"/>
          <w:szCs w:val="20"/>
        </w:rPr>
        <w:t>.</w:t>
      </w:r>
    </w:p>
    <w:p w14:paraId="5CCBE6B6" w14:textId="77777777" w:rsidR="00B96C2A" w:rsidRPr="00B96C2A" w:rsidRDefault="00B96C2A" w:rsidP="00B96C2A">
      <w:pPr>
        <w:pStyle w:val="NormalWeb"/>
        <w:jc w:val="both"/>
        <w:rPr>
          <w:rFonts w:ascii="Verdana" w:hAnsi="Verdana"/>
          <w:sz w:val="20"/>
          <w:szCs w:val="20"/>
        </w:rPr>
      </w:pPr>
      <w:r w:rsidRPr="00B96C2A">
        <w:rPr>
          <w:rFonts w:ascii="Verdana" w:hAnsi="Verdana"/>
          <w:sz w:val="20"/>
          <w:szCs w:val="20"/>
        </w:rPr>
        <w:t xml:space="preserve">Международна организация за акредитация на лаборатории (ILAC) реши с резолюция, че ще има тригодишен преходен период от датата на публикуване към преминаване към изискванията на ISO 15189:2022. До края на този период лабораториите, акредитирани по ISO 15189:2012 в световен мащаб, трябва да са оценени и акредитирани по ISO 15189:2022. Информация за резолюцията на ILAC </w:t>
      </w:r>
      <w:hyperlink r:id="rId9" w:history="1">
        <w:r w:rsidRPr="00B96C2A">
          <w:rPr>
            <w:rStyle w:val="Hyperlink"/>
            <w:rFonts w:ascii="Verdana" w:hAnsi="Verdana"/>
            <w:sz w:val="20"/>
            <w:szCs w:val="20"/>
          </w:rPr>
          <w:t>тук</w:t>
        </w:r>
      </w:hyperlink>
      <w:r w:rsidRPr="00B96C2A">
        <w:rPr>
          <w:rFonts w:ascii="Verdana" w:hAnsi="Verdana"/>
          <w:sz w:val="20"/>
          <w:szCs w:val="20"/>
        </w:rPr>
        <w:t>.</w:t>
      </w:r>
    </w:p>
    <w:p w14:paraId="155EACFC" w14:textId="77777777" w:rsidR="003F389A" w:rsidRPr="00B96C2A" w:rsidRDefault="00B96C2A" w:rsidP="00B96C2A">
      <w:pPr>
        <w:pStyle w:val="NormalWeb"/>
        <w:jc w:val="both"/>
        <w:rPr>
          <w:rFonts w:ascii="Verdana" w:hAnsi="Verdana"/>
          <w:sz w:val="20"/>
          <w:szCs w:val="20"/>
        </w:rPr>
      </w:pPr>
      <w:r w:rsidRPr="00B96C2A">
        <w:rPr>
          <w:rFonts w:ascii="Verdana" w:hAnsi="Verdana"/>
          <w:sz w:val="20"/>
          <w:szCs w:val="20"/>
        </w:rPr>
        <w:t>Тъй като актуализираният стандарт ISO 15189:2022 включва изискванията на ISO 22870:2016, акредитираните POCT ще бъдат оценявани в бъдеще само спрямо изискванията на ISO 15189:2022.</w:t>
      </w:r>
    </w:p>
    <w:p w14:paraId="6C1F035B" w14:textId="77777777" w:rsidR="003F389A" w:rsidRPr="00893DA4" w:rsidRDefault="003F389A" w:rsidP="003F389A">
      <w:pPr>
        <w:pStyle w:val="NormalWeb"/>
        <w:spacing w:after="0"/>
        <w:jc w:val="both"/>
        <w:rPr>
          <w:rFonts w:ascii="Verdana" w:hAnsi="Verdana"/>
          <w:sz w:val="20"/>
          <w:szCs w:val="20"/>
        </w:rPr>
      </w:pPr>
      <w:r w:rsidRPr="00893DA4">
        <w:rPr>
          <w:rFonts w:ascii="Verdana" w:hAnsi="Verdana"/>
          <w:sz w:val="20"/>
          <w:szCs w:val="20"/>
        </w:rPr>
        <w:t xml:space="preserve">Настоящата информация описва подхода на ИА БСА за извършването на преход </w:t>
      </w:r>
      <w:r w:rsidRPr="00893DA4">
        <w:rPr>
          <w:rStyle w:val="Strong"/>
          <w:rFonts w:ascii="Verdana" w:hAnsi="Verdana"/>
          <w:b w:val="0"/>
          <w:sz w:val="20"/>
          <w:szCs w:val="20"/>
        </w:rPr>
        <w:t>от</w:t>
      </w:r>
      <w:r w:rsidRPr="00893DA4">
        <w:rPr>
          <w:rStyle w:val="Strong"/>
          <w:rFonts w:ascii="Verdana" w:hAnsi="Verdana"/>
          <w:sz w:val="20"/>
          <w:szCs w:val="20"/>
        </w:rPr>
        <w:t xml:space="preserve"> </w:t>
      </w:r>
      <w:r w:rsidRPr="00893DA4">
        <w:rPr>
          <w:rStyle w:val="Strong"/>
          <w:rFonts w:ascii="Verdana" w:hAnsi="Verdana"/>
          <w:b w:val="0"/>
          <w:sz w:val="20"/>
          <w:szCs w:val="20"/>
        </w:rPr>
        <w:t xml:space="preserve">акредитация съгласно </w:t>
      </w:r>
      <w:r w:rsidR="00D048FE" w:rsidRPr="00893DA4">
        <w:rPr>
          <w:rStyle w:val="Strong"/>
          <w:rFonts w:ascii="Verdana" w:hAnsi="Verdana"/>
          <w:b w:val="0"/>
          <w:sz w:val="20"/>
          <w:szCs w:val="20"/>
        </w:rPr>
        <w:t xml:space="preserve">изискванията на </w:t>
      </w:r>
      <w:r w:rsidR="00893DA4" w:rsidRPr="00893DA4">
        <w:rPr>
          <w:rFonts w:ascii="Verdana" w:hAnsi="Verdana"/>
          <w:sz w:val="20"/>
          <w:szCs w:val="20"/>
        </w:rPr>
        <w:t>ISO 15189:2012</w:t>
      </w:r>
      <w:r w:rsidRPr="00893DA4">
        <w:rPr>
          <w:rStyle w:val="Strong"/>
          <w:rFonts w:ascii="Verdana" w:hAnsi="Verdana"/>
          <w:b w:val="0"/>
          <w:sz w:val="20"/>
          <w:szCs w:val="20"/>
        </w:rPr>
        <w:t xml:space="preserve"> към акредитация съгласно </w:t>
      </w:r>
      <w:r w:rsidR="00D048FE" w:rsidRPr="00893DA4">
        <w:rPr>
          <w:rFonts w:ascii="Verdana" w:hAnsi="Verdana"/>
          <w:bCs/>
          <w:sz w:val="20"/>
          <w:szCs w:val="20"/>
        </w:rPr>
        <w:t xml:space="preserve">изискванията на </w:t>
      </w:r>
      <w:r w:rsidR="00893DA4" w:rsidRPr="00893DA4">
        <w:rPr>
          <w:rStyle w:val="Strong"/>
          <w:rFonts w:ascii="Verdana" w:hAnsi="Verdana"/>
          <w:b w:val="0"/>
          <w:sz w:val="20"/>
          <w:szCs w:val="20"/>
        </w:rPr>
        <w:t>ISO 15189:2022</w:t>
      </w:r>
      <w:r w:rsidRPr="00893DA4">
        <w:rPr>
          <w:rFonts w:ascii="Verdana" w:hAnsi="Verdana"/>
          <w:sz w:val="20"/>
          <w:szCs w:val="20"/>
        </w:rPr>
        <w:t>.</w:t>
      </w:r>
    </w:p>
    <w:p w14:paraId="7CD0A2A8" w14:textId="77777777" w:rsidR="00DF17EC" w:rsidRPr="00073110" w:rsidRDefault="00DF17EC" w:rsidP="00481DC8">
      <w:pPr>
        <w:spacing w:after="60"/>
        <w:ind w:right="34"/>
        <w:jc w:val="both"/>
        <w:rPr>
          <w:rFonts w:ascii="Verdana" w:hAnsi="Verdana"/>
          <w:color w:val="FF0000"/>
          <w:sz w:val="20"/>
          <w:szCs w:val="20"/>
        </w:rPr>
      </w:pPr>
    </w:p>
    <w:p w14:paraId="6AFCF6BF" w14:textId="77777777" w:rsidR="00B72149" w:rsidRDefault="00B72149" w:rsidP="001D2FD0">
      <w:pPr>
        <w:numPr>
          <w:ilvl w:val="0"/>
          <w:numId w:val="13"/>
        </w:numPr>
        <w:spacing w:after="60"/>
        <w:ind w:right="34"/>
        <w:jc w:val="both"/>
        <w:rPr>
          <w:rFonts w:ascii="Verdana" w:hAnsi="Verdana"/>
          <w:b/>
          <w:sz w:val="20"/>
          <w:szCs w:val="20"/>
        </w:rPr>
      </w:pPr>
      <w:r w:rsidRPr="001D2FD0">
        <w:rPr>
          <w:rFonts w:ascii="Verdana" w:hAnsi="Verdana"/>
          <w:b/>
          <w:sz w:val="20"/>
          <w:szCs w:val="20"/>
        </w:rPr>
        <w:t>Преход</w:t>
      </w:r>
    </w:p>
    <w:p w14:paraId="0592F700" w14:textId="77777777" w:rsidR="001D2FD0" w:rsidRPr="001D2FD0" w:rsidRDefault="001D2FD0" w:rsidP="001D2FD0">
      <w:pPr>
        <w:spacing w:after="60"/>
        <w:ind w:left="720" w:right="34"/>
        <w:jc w:val="both"/>
        <w:rPr>
          <w:rFonts w:ascii="Verdana" w:hAnsi="Verdana"/>
          <w:b/>
          <w:sz w:val="20"/>
          <w:szCs w:val="20"/>
        </w:rPr>
      </w:pPr>
    </w:p>
    <w:p w14:paraId="721A66FB" w14:textId="77777777" w:rsidR="000E3AFA" w:rsidRPr="001D2FD0" w:rsidRDefault="000E3AFA" w:rsidP="001D2FD0">
      <w:pPr>
        <w:numPr>
          <w:ilvl w:val="0"/>
          <w:numId w:val="14"/>
        </w:numPr>
        <w:spacing w:after="60"/>
        <w:ind w:left="0" w:firstLine="0"/>
        <w:jc w:val="both"/>
        <w:rPr>
          <w:rFonts w:ascii="Verdana" w:hAnsi="Verdana"/>
          <w:b/>
          <w:sz w:val="20"/>
          <w:szCs w:val="20"/>
        </w:rPr>
      </w:pPr>
      <w:r w:rsidRPr="001D2FD0">
        <w:rPr>
          <w:rFonts w:ascii="Verdana" w:hAnsi="Verdana"/>
          <w:b/>
          <w:sz w:val="20"/>
          <w:szCs w:val="20"/>
        </w:rPr>
        <w:t>Общи положения</w:t>
      </w:r>
      <w:r w:rsidR="008F328C" w:rsidRPr="001D2FD0">
        <w:rPr>
          <w:rFonts w:ascii="Verdana" w:hAnsi="Verdana"/>
          <w:b/>
          <w:sz w:val="20"/>
          <w:szCs w:val="20"/>
        </w:rPr>
        <w:t>.</w:t>
      </w:r>
    </w:p>
    <w:p w14:paraId="79ED9CEC" w14:textId="77777777" w:rsidR="001D2FD0" w:rsidRPr="001D2FD0" w:rsidRDefault="001D2FD0" w:rsidP="001D2FD0">
      <w:pPr>
        <w:pStyle w:val="NormalWeb"/>
        <w:jc w:val="both"/>
        <w:rPr>
          <w:rFonts w:ascii="Verdana" w:hAnsi="Verdana"/>
          <w:sz w:val="20"/>
          <w:szCs w:val="19"/>
        </w:rPr>
      </w:pPr>
      <w:r w:rsidRPr="001D2FD0">
        <w:rPr>
          <w:rFonts w:ascii="Verdana" w:hAnsi="Verdana"/>
          <w:sz w:val="20"/>
          <w:szCs w:val="19"/>
        </w:rPr>
        <w:t>ISO 15189:2022 е изготвен от Техническия комитет ISO/TC 212, Клинично лабораторно изпитване и ин витро диагностични тестови системи, в сътрудничество с Европейския комитет по стандартизация (CEN) Технически комитет CEN/TC 140, Ин витро диагностични медицински изделия, в съответствие с Споразумение за техническо сътрудничество между ISO и CEN (Виенско споразумение).</w:t>
      </w:r>
    </w:p>
    <w:p w14:paraId="2BA9FFBF" w14:textId="77777777" w:rsidR="001D2FD0" w:rsidRDefault="001D2FD0" w:rsidP="001D2FD0">
      <w:pPr>
        <w:pStyle w:val="NormalWeb"/>
        <w:jc w:val="both"/>
        <w:rPr>
          <w:rFonts w:ascii="Verdana" w:hAnsi="Verdana"/>
          <w:sz w:val="20"/>
          <w:szCs w:val="19"/>
        </w:rPr>
      </w:pPr>
      <w:r w:rsidRPr="001D2FD0">
        <w:rPr>
          <w:rFonts w:ascii="Verdana" w:hAnsi="Verdana"/>
          <w:sz w:val="20"/>
          <w:szCs w:val="19"/>
        </w:rPr>
        <w:t>Това четвърто издание отменя и заменя третото издание (ISO 15189:2012), което е технически преработено. Той също така заменя ISO 22870:2016.</w:t>
      </w:r>
    </w:p>
    <w:p w14:paraId="33C51F86" w14:textId="77777777" w:rsidR="001D2FD0" w:rsidRPr="001D2FD0" w:rsidRDefault="001D2FD0" w:rsidP="001D2FD0">
      <w:pPr>
        <w:pStyle w:val="NormalWeb"/>
        <w:jc w:val="both"/>
        <w:rPr>
          <w:rFonts w:ascii="Verdana" w:hAnsi="Verdana"/>
          <w:sz w:val="20"/>
          <w:szCs w:val="19"/>
        </w:rPr>
      </w:pPr>
      <w:r w:rsidRPr="001D2FD0">
        <w:rPr>
          <w:rFonts w:ascii="Verdana" w:hAnsi="Verdana"/>
          <w:sz w:val="20"/>
          <w:szCs w:val="19"/>
        </w:rPr>
        <w:t>Основните промени са следните:</w:t>
      </w:r>
    </w:p>
    <w:p w14:paraId="2C57290E" w14:textId="7C561C41" w:rsidR="001D2FD0" w:rsidRPr="00CA7388" w:rsidRDefault="001D2FD0" w:rsidP="001D2FD0">
      <w:pPr>
        <w:pStyle w:val="NormalWeb"/>
        <w:jc w:val="both"/>
        <w:rPr>
          <w:rFonts w:ascii="Verdana" w:hAnsi="Verdana"/>
          <w:sz w:val="20"/>
          <w:szCs w:val="19"/>
        </w:rPr>
      </w:pPr>
      <w:r w:rsidRPr="001D2FD0">
        <w:rPr>
          <w:rFonts w:ascii="Verdana" w:hAnsi="Verdana"/>
          <w:sz w:val="20"/>
          <w:szCs w:val="19"/>
        </w:rPr>
        <w:lastRenderedPageBreak/>
        <w:t xml:space="preserve">— Привеждането в съответствие с ISO/IEC 17025:2017 доведе до това, че изискванията за управление </w:t>
      </w:r>
      <w:r w:rsidRPr="00CA7388">
        <w:rPr>
          <w:rFonts w:ascii="Verdana" w:hAnsi="Verdana"/>
          <w:sz w:val="20"/>
          <w:szCs w:val="19"/>
        </w:rPr>
        <w:t xml:space="preserve">вече </w:t>
      </w:r>
      <w:r w:rsidR="004E5C97" w:rsidRPr="00CA7388">
        <w:rPr>
          <w:rFonts w:ascii="Verdana" w:hAnsi="Verdana"/>
          <w:sz w:val="20"/>
          <w:szCs w:val="19"/>
        </w:rPr>
        <w:t>са</w:t>
      </w:r>
      <w:r w:rsidRPr="00CA7388">
        <w:rPr>
          <w:rFonts w:ascii="Verdana" w:hAnsi="Verdana"/>
          <w:sz w:val="20"/>
          <w:szCs w:val="19"/>
        </w:rPr>
        <w:t xml:space="preserve"> в края на документа;</w:t>
      </w:r>
    </w:p>
    <w:p w14:paraId="26CEBB9B"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 Включени са изисквания за тестване на място (POCT), преди това в ISO 22870;</w:t>
      </w:r>
    </w:p>
    <w:p w14:paraId="63FFE1A7"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 Повишен акцент върху управлението на риска.</w:t>
      </w:r>
    </w:p>
    <w:p w14:paraId="6A80B448"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Целта на ISO 15189:2022 е да насърчи благосъстоянието на пациентите и удовлетворението на потребителите на лабораториите чрез доверие в качеството и компетентността на медицинските лаборатории.</w:t>
      </w:r>
    </w:p>
    <w:p w14:paraId="66912E95"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ISO 15189:2022 съдържа изисквания към медицинската лаборатория да планира и изпълнява действия за справяне с рисковете и възможностите за подобрение. Ползите от този подход включват: повишаване на ефективността на системата за управление, намаляване на вероятността от невалидни резултати и намаляване на потенциалната вреда за пациентите, лабораторния персонал, обществеността и околната среда.</w:t>
      </w:r>
    </w:p>
    <w:p w14:paraId="6AB4F0B4"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Изискванията за управление на риска са приведени в съответствие с принципите на ISO 22367.</w:t>
      </w:r>
    </w:p>
    <w:p w14:paraId="3A831CC8"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Изискванията за лабораторна безопасност са приведени в съответствие с принципите на ISO 15190.</w:t>
      </w:r>
    </w:p>
    <w:p w14:paraId="52F3F401"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Изискванията за събиране и транспортиране на проби са в съответствие с ISO 20658.1</w:t>
      </w:r>
    </w:p>
    <w:p w14:paraId="73E4B1E9" w14:textId="47DC370F" w:rsidR="001D2FD0" w:rsidRPr="00CA7388" w:rsidRDefault="001D2FD0" w:rsidP="001D2FD0">
      <w:pPr>
        <w:pStyle w:val="NormalWeb"/>
        <w:jc w:val="both"/>
        <w:rPr>
          <w:rFonts w:ascii="Verdana" w:hAnsi="Verdana"/>
          <w:sz w:val="20"/>
          <w:szCs w:val="19"/>
        </w:rPr>
      </w:pPr>
      <w:r w:rsidRPr="00CA7388">
        <w:rPr>
          <w:rFonts w:ascii="Verdana" w:hAnsi="Verdana"/>
          <w:sz w:val="20"/>
          <w:szCs w:val="19"/>
        </w:rPr>
        <w:t xml:space="preserve">ISO 15189:2022 съдържа изискванията за тестване на място (POCT) и замества ISO 22870, който ще бъде оттеглен при публикуването на </w:t>
      </w:r>
      <w:r w:rsidR="004E5C97" w:rsidRPr="00CA7388">
        <w:rPr>
          <w:rFonts w:ascii="Verdana" w:hAnsi="Verdana"/>
          <w:sz w:val="20"/>
          <w:szCs w:val="19"/>
        </w:rPr>
        <w:t>ISO 15189:2022</w:t>
      </w:r>
      <w:r w:rsidRPr="00CA7388">
        <w:rPr>
          <w:rFonts w:ascii="Verdana" w:hAnsi="Verdana"/>
          <w:sz w:val="20"/>
          <w:szCs w:val="19"/>
        </w:rPr>
        <w:t>.</w:t>
      </w:r>
    </w:p>
    <w:p w14:paraId="278A38E6" w14:textId="7007C764" w:rsidR="001D2FD0" w:rsidRPr="00CA7388" w:rsidRDefault="001D2FD0" w:rsidP="001D2FD0">
      <w:pPr>
        <w:pStyle w:val="NormalWeb"/>
        <w:jc w:val="both"/>
        <w:rPr>
          <w:rFonts w:ascii="Verdana" w:hAnsi="Verdana"/>
          <w:sz w:val="20"/>
          <w:szCs w:val="19"/>
        </w:rPr>
      </w:pPr>
      <w:r w:rsidRPr="00CA7388">
        <w:rPr>
          <w:rFonts w:ascii="Verdana" w:hAnsi="Verdana"/>
          <w:sz w:val="20"/>
          <w:szCs w:val="19"/>
        </w:rPr>
        <w:t xml:space="preserve">Форматът на </w:t>
      </w:r>
      <w:r w:rsidR="004E5C97" w:rsidRPr="00CA7388">
        <w:rPr>
          <w:rFonts w:ascii="Verdana" w:hAnsi="Verdana"/>
          <w:sz w:val="20"/>
          <w:szCs w:val="19"/>
        </w:rPr>
        <w:t>ISO 15189:2022</w:t>
      </w:r>
      <w:r w:rsidRPr="00CA7388">
        <w:rPr>
          <w:rFonts w:ascii="Verdana" w:hAnsi="Verdana"/>
          <w:sz w:val="20"/>
          <w:szCs w:val="19"/>
        </w:rPr>
        <w:t xml:space="preserve"> е базиран на ISO/IEC 17025:2017.</w:t>
      </w:r>
    </w:p>
    <w:p w14:paraId="7CB58FC4" w14:textId="22F67002" w:rsidR="001D2FD0" w:rsidRPr="00CA7388" w:rsidRDefault="004E5C97" w:rsidP="001D2FD0">
      <w:pPr>
        <w:pStyle w:val="NormalWeb"/>
        <w:jc w:val="both"/>
        <w:rPr>
          <w:rFonts w:ascii="Verdana" w:hAnsi="Verdana"/>
          <w:sz w:val="20"/>
          <w:szCs w:val="19"/>
        </w:rPr>
      </w:pPr>
      <w:r w:rsidRPr="00CA7388">
        <w:rPr>
          <w:rFonts w:ascii="Verdana" w:hAnsi="Verdana"/>
          <w:sz w:val="20"/>
          <w:szCs w:val="19"/>
        </w:rPr>
        <w:t xml:space="preserve">Медицинските лаборатории са </w:t>
      </w:r>
      <w:r w:rsidR="001D2FD0" w:rsidRPr="00CA7388">
        <w:rPr>
          <w:rFonts w:ascii="Verdana" w:hAnsi="Verdana"/>
          <w:sz w:val="20"/>
          <w:szCs w:val="19"/>
        </w:rPr>
        <w:t>от съществено значение за грижата за пациентите; дейностите се предоставят в рамките на етична и управленска рамка, която признава задълженията на доставчиците на здравни услуги към пациента. Тези дейности се предприемат своевременно, за да отговорят на нуждите на всички пациенти и персонала, отговорен за грижите за тези пациенти. Дейностите включват договорености за заявки за изследване, подготовка на пациенти, идентификация на пациента, вземане на проби, транспортиране, обработка на проби от пациенти, избор на изследвания, които са годни за предвидената употреба, изследване на проби, съхранение на проби, както и последваща интерпретация, докладване на резултатите и съвети към лабораторните потребители. Това може също да включва предоставяне на резултати на пациента, организиране на спешно изследване и уведомяване за критични резултати.</w:t>
      </w:r>
    </w:p>
    <w:p w14:paraId="5C594597"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Въпреки че ISO 15189:2022 е предназначен за използване във всички признати понастоящем медицински лабораторни дисциплини, той може ефективно да се прилага към други здравни услуги, като образна диагностика, респираторна терапия, физиологични науки, кръвни банки и трансфузионни услуги.</w:t>
      </w:r>
    </w:p>
    <w:p w14:paraId="67CFA791"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Използването на ISO 15189:2022 улеснява сътрудничеството между медицински лаборатории и други здравни служби, подпомага обмена на информация и хармонизирането на методите и процедурите.</w:t>
      </w:r>
    </w:p>
    <w:p w14:paraId="245C4D3B" w14:textId="77777777" w:rsidR="001D2FD0" w:rsidRPr="00CA7388" w:rsidRDefault="001D2FD0" w:rsidP="001D2FD0">
      <w:pPr>
        <w:pStyle w:val="NormalWeb"/>
        <w:jc w:val="both"/>
        <w:rPr>
          <w:rFonts w:ascii="Verdana" w:hAnsi="Verdana"/>
          <w:sz w:val="20"/>
          <w:szCs w:val="19"/>
        </w:rPr>
      </w:pPr>
      <w:r w:rsidRPr="00CA7388">
        <w:rPr>
          <w:rFonts w:ascii="Verdana" w:hAnsi="Verdana"/>
          <w:sz w:val="20"/>
          <w:szCs w:val="19"/>
        </w:rPr>
        <w:t>Сравнението на резултатите от изследванията на пациенти между медицинските лаборатории, независимо от града или държавата, се улеснява, когато медицинските лаборатории отговарят на ISO 15189:2022.</w:t>
      </w:r>
    </w:p>
    <w:p w14:paraId="040B84F6" w14:textId="16E05A81" w:rsidR="001D2FD0" w:rsidRPr="00CA7388" w:rsidRDefault="001D2FD0" w:rsidP="001D2FD0">
      <w:pPr>
        <w:pStyle w:val="NormalWeb"/>
        <w:jc w:val="both"/>
        <w:rPr>
          <w:rFonts w:ascii="Verdana" w:hAnsi="Verdana"/>
          <w:sz w:val="20"/>
          <w:szCs w:val="19"/>
        </w:rPr>
      </w:pPr>
      <w:r w:rsidRPr="00CA7388">
        <w:rPr>
          <w:rFonts w:ascii="Verdana" w:hAnsi="Verdana"/>
          <w:sz w:val="20"/>
          <w:szCs w:val="19"/>
        </w:rPr>
        <w:t xml:space="preserve">Когато една лаборатория </w:t>
      </w:r>
      <w:r w:rsidR="004E5C97" w:rsidRPr="00CA7388">
        <w:rPr>
          <w:rFonts w:ascii="Verdana" w:hAnsi="Verdana"/>
          <w:sz w:val="20"/>
          <w:szCs w:val="19"/>
        </w:rPr>
        <w:t>заяви желание за акредитация</w:t>
      </w:r>
      <w:r w:rsidRPr="00CA7388">
        <w:rPr>
          <w:rFonts w:ascii="Verdana" w:hAnsi="Verdana"/>
          <w:sz w:val="20"/>
          <w:szCs w:val="19"/>
        </w:rPr>
        <w:t>, тя трябва да избере акредитиращ орган, който работи в съответствие с ISO/IEC 17011 и който взема предвид специфичните изисквания на медицинските лаборатории.</w:t>
      </w:r>
    </w:p>
    <w:p w14:paraId="48F89181" w14:textId="77777777" w:rsidR="001D2FD0" w:rsidRPr="001D2FD0" w:rsidRDefault="001D2FD0" w:rsidP="001D2FD0">
      <w:pPr>
        <w:pStyle w:val="NormalWeb"/>
        <w:jc w:val="both"/>
        <w:rPr>
          <w:rFonts w:ascii="Verdana" w:hAnsi="Verdana"/>
          <w:sz w:val="20"/>
          <w:szCs w:val="19"/>
        </w:rPr>
      </w:pPr>
      <w:r w:rsidRPr="001D2FD0">
        <w:rPr>
          <w:rFonts w:ascii="Verdana" w:hAnsi="Verdana"/>
          <w:sz w:val="20"/>
          <w:szCs w:val="19"/>
        </w:rPr>
        <w:lastRenderedPageBreak/>
        <w:t>Сравненията между ISO 15189:2022 и ISO 9001:2015 и ISO/IEC 17025:2017 са в приложение B. Сравнението на ISO 15189:2012 с ISO 15189:2022 е в приложение C.</w:t>
      </w:r>
    </w:p>
    <w:p w14:paraId="02F2EE4A" w14:textId="77777777" w:rsidR="00A13906" w:rsidRPr="00073110" w:rsidRDefault="00A13906" w:rsidP="00A13906">
      <w:pPr>
        <w:pStyle w:val="NormalWeb"/>
        <w:spacing w:before="0" w:after="0"/>
        <w:jc w:val="both"/>
        <w:rPr>
          <w:rFonts w:ascii="Verdana" w:hAnsi="Verdana"/>
          <w:color w:val="FF0000"/>
          <w:sz w:val="20"/>
          <w:szCs w:val="19"/>
        </w:rPr>
      </w:pPr>
      <w:r w:rsidRPr="005E609B">
        <w:rPr>
          <w:rFonts w:ascii="Verdana" w:hAnsi="Verdana"/>
          <w:sz w:val="20"/>
          <w:szCs w:val="19"/>
        </w:rPr>
        <w:t>Акредитираните лаборатории е необходимо да въведат промените в системите си за управление и процесите си и да дем</w:t>
      </w:r>
      <w:r w:rsidR="005E609B" w:rsidRPr="005E609B">
        <w:rPr>
          <w:rFonts w:ascii="Verdana" w:hAnsi="Verdana"/>
          <w:sz w:val="20"/>
          <w:szCs w:val="19"/>
        </w:rPr>
        <w:t>онстрират съответствие с ISO</w:t>
      </w:r>
      <w:r w:rsidRPr="005E609B">
        <w:rPr>
          <w:rFonts w:ascii="Verdana" w:hAnsi="Verdana"/>
          <w:sz w:val="20"/>
          <w:szCs w:val="19"/>
        </w:rPr>
        <w:t xml:space="preserve"> 1</w:t>
      </w:r>
      <w:r w:rsidR="005E609B" w:rsidRPr="005E609B">
        <w:rPr>
          <w:rFonts w:ascii="Verdana" w:hAnsi="Verdana"/>
          <w:sz w:val="20"/>
          <w:szCs w:val="19"/>
        </w:rPr>
        <w:t>5189:2022</w:t>
      </w:r>
      <w:r w:rsidR="001D2FD0">
        <w:rPr>
          <w:rFonts w:ascii="Verdana" w:hAnsi="Verdana"/>
          <w:sz w:val="20"/>
          <w:szCs w:val="19"/>
        </w:rPr>
        <w:t xml:space="preserve"> </w:t>
      </w:r>
      <w:r w:rsidRPr="005E609B">
        <w:rPr>
          <w:rFonts w:ascii="Verdana" w:hAnsi="Verdana"/>
          <w:sz w:val="20"/>
          <w:szCs w:val="19"/>
        </w:rPr>
        <w:t>и изискванията за акредитация в рамките на тригодишен преходен период, считано от датата на публикуването му (</w:t>
      </w:r>
      <w:r w:rsidR="005E609B" w:rsidRPr="005E609B">
        <w:rPr>
          <w:rFonts w:ascii="Verdana" w:hAnsi="Verdana"/>
          <w:sz w:val="20"/>
          <w:szCs w:val="19"/>
          <w:lang w:val="en-US"/>
        </w:rPr>
        <w:t>06</w:t>
      </w:r>
      <w:r w:rsidR="005E609B" w:rsidRPr="005E609B">
        <w:rPr>
          <w:rFonts w:ascii="Verdana" w:hAnsi="Verdana"/>
          <w:sz w:val="20"/>
          <w:szCs w:val="19"/>
        </w:rPr>
        <w:t xml:space="preserve">.12.2022 </w:t>
      </w:r>
      <w:r w:rsidRPr="005E609B">
        <w:rPr>
          <w:rFonts w:ascii="Verdana" w:hAnsi="Verdana"/>
          <w:sz w:val="20"/>
          <w:szCs w:val="19"/>
        </w:rPr>
        <w:t>г.).</w:t>
      </w:r>
    </w:p>
    <w:p w14:paraId="3CAC39FD" w14:textId="77777777" w:rsidR="000368E9" w:rsidRPr="00073110" w:rsidRDefault="000368E9" w:rsidP="00A13906">
      <w:pPr>
        <w:jc w:val="both"/>
        <w:rPr>
          <w:rFonts w:ascii="Verdana" w:hAnsi="Verdana"/>
          <w:color w:val="FF0000"/>
          <w:sz w:val="20"/>
          <w:szCs w:val="20"/>
        </w:rPr>
      </w:pPr>
    </w:p>
    <w:p w14:paraId="36398617" w14:textId="77777777" w:rsidR="00A13906" w:rsidRPr="00073110" w:rsidRDefault="00A13906" w:rsidP="00A13906">
      <w:pPr>
        <w:jc w:val="both"/>
        <w:rPr>
          <w:rFonts w:ascii="Verdana" w:hAnsi="Verdana"/>
          <w:color w:val="FF0000"/>
          <w:sz w:val="20"/>
          <w:szCs w:val="20"/>
        </w:rPr>
      </w:pPr>
      <w:r w:rsidRPr="005E609B">
        <w:rPr>
          <w:rFonts w:ascii="Verdana" w:hAnsi="Verdana"/>
          <w:sz w:val="20"/>
          <w:szCs w:val="20"/>
        </w:rPr>
        <w:t>След</w:t>
      </w:r>
      <w:r w:rsidR="005E609B">
        <w:rPr>
          <w:rFonts w:ascii="Verdana" w:hAnsi="Verdana"/>
          <w:sz w:val="20"/>
          <w:szCs w:val="20"/>
        </w:rPr>
        <w:t xml:space="preserve"> </w:t>
      </w:r>
      <w:r w:rsidR="005E609B" w:rsidRPr="005E609B">
        <w:rPr>
          <w:rFonts w:ascii="Verdana" w:hAnsi="Verdana"/>
          <w:b/>
          <w:sz w:val="20"/>
          <w:szCs w:val="20"/>
        </w:rPr>
        <w:t xml:space="preserve">06.12.2025 </w:t>
      </w:r>
      <w:r w:rsidRPr="005E609B">
        <w:rPr>
          <w:rFonts w:ascii="Verdana" w:hAnsi="Verdana"/>
          <w:b/>
          <w:sz w:val="20"/>
          <w:szCs w:val="20"/>
        </w:rPr>
        <w:t>г.</w:t>
      </w:r>
      <w:r w:rsidRPr="005E609B">
        <w:rPr>
          <w:rFonts w:ascii="Verdana" w:hAnsi="Verdana"/>
          <w:sz w:val="20"/>
          <w:szCs w:val="20"/>
        </w:rPr>
        <w:t xml:space="preserve"> ще бъдат валидни само сертификатите за акредитация, издадени в съответствие с изискванията на </w:t>
      </w:r>
      <w:r w:rsidR="0011629A" w:rsidRPr="005E609B">
        <w:rPr>
          <w:rFonts w:ascii="Verdana" w:hAnsi="Verdana"/>
          <w:sz w:val="20"/>
          <w:szCs w:val="20"/>
        </w:rPr>
        <w:t>ISO 1</w:t>
      </w:r>
      <w:r w:rsidR="005E609B" w:rsidRPr="005E609B">
        <w:rPr>
          <w:rFonts w:ascii="Verdana" w:hAnsi="Verdana"/>
          <w:sz w:val="20"/>
          <w:szCs w:val="20"/>
        </w:rPr>
        <w:t>5189</w:t>
      </w:r>
      <w:r w:rsidR="0011629A" w:rsidRPr="005E609B">
        <w:rPr>
          <w:rFonts w:ascii="Verdana" w:hAnsi="Verdana"/>
          <w:sz w:val="20"/>
          <w:szCs w:val="20"/>
        </w:rPr>
        <w:t>:20</w:t>
      </w:r>
      <w:r w:rsidR="005E609B" w:rsidRPr="005E609B">
        <w:rPr>
          <w:rFonts w:ascii="Verdana" w:hAnsi="Verdana"/>
          <w:sz w:val="20"/>
          <w:szCs w:val="20"/>
        </w:rPr>
        <w:t>2</w:t>
      </w:r>
      <w:r w:rsidR="005E609B" w:rsidRPr="0033591B">
        <w:rPr>
          <w:rFonts w:ascii="Verdana" w:hAnsi="Verdana"/>
          <w:sz w:val="20"/>
          <w:szCs w:val="20"/>
        </w:rPr>
        <w:t>2</w:t>
      </w:r>
      <w:r w:rsidR="0033591B" w:rsidRPr="0033591B">
        <w:rPr>
          <w:rFonts w:ascii="Verdana" w:hAnsi="Verdana"/>
          <w:sz w:val="20"/>
          <w:szCs w:val="20"/>
        </w:rPr>
        <w:t>.</w:t>
      </w:r>
    </w:p>
    <w:p w14:paraId="57D9EF67" w14:textId="77777777" w:rsidR="00A13906" w:rsidRPr="00073110" w:rsidRDefault="00A13906" w:rsidP="00A13906">
      <w:pPr>
        <w:jc w:val="both"/>
        <w:rPr>
          <w:rFonts w:ascii="Verdana" w:hAnsi="Verdana"/>
          <w:color w:val="FF0000"/>
          <w:sz w:val="20"/>
          <w:szCs w:val="20"/>
        </w:rPr>
      </w:pPr>
    </w:p>
    <w:p w14:paraId="5EC23475" w14:textId="77777777" w:rsidR="00A13906" w:rsidRPr="005E609B" w:rsidRDefault="00A13906" w:rsidP="00A13906">
      <w:pPr>
        <w:jc w:val="both"/>
        <w:rPr>
          <w:rFonts w:ascii="Verdana" w:hAnsi="Verdana"/>
          <w:b/>
          <w:sz w:val="20"/>
          <w:szCs w:val="20"/>
        </w:rPr>
      </w:pPr>
      <w:r w:rsidRPr="005E609B">
        <w:rPr>
          <w:rFonts w:ascii="Verdana" w:hAnsi="Verdana"/>
          <w:b/>
          <w:sz w:val="20"/>
          <w:szCs w:val="20"/>
        </w:rPr>
        <w:t xml:space="preserve">Оценка за прилагане на изисквания на </w:t>
      </w:r>
      <w:r w:rsidRPr="005E609B">
        <w:rPr>
          <w:rFonts w:ascii="Verdana" w:hAnsi="Verdana"/>
          <w:b/>
          <w:sz w:val="20"/>
          <w:szCs w:val="20"/>
          <w:lang w:val="en-US"/>
        </w:rPr>
        <w:t xml:space="preserve">ISO </w:t>
      </w:r>
      <w:r w:rsidR="005E609B" w:rsidRPr="005E609B">
        <w:rPr>
          <w:rFonts w:ascii="Verdana" w:hAnsi="Verdana"/>
          <w:b/>
          <w:sz w:val="20"/>
          <w:szCs w:val="20"/>
        </w:rPr>
        <w:t>15189:2022</w:t>
      </w:r>
      <w:r w:rsidRPr="005E609B">
        <w:rPr>
          <w:rFonts w:ascii="Verdana" w:hAnsi="Verdana"/>
          <w:b/>
          <w:sz w:val="20"/>
          <w:szCs w:val="20"/>
        </w:rPr>
        <w:t xml:space="preserve">, ще се извършва по време на планови оценки, като планов надзор, </w:t>
      </w:r>
      <w:proofErr w:type="spellStart"/>
      <w:r w:rsidRPr="005E609B">
        <w:rPr>
          <w:rFonts w:ascii="Verdana" w:hAnsi="Verdana"/>
          <w:b/>
          <w:sz w:val="20"/>
          <w:szCs w:val="20"/>
        </w:rPr>
        <w:t>преакредитация</w:t>
      </w:r>
      <w:proofErr w:type="spellEnd"/>
      <w:r w:rsidRPr="005E609B">
        <w:rPr>
          <w:rFonts w:ascii="Verdana" w:hAnsi="Verdana"/>
          <w:b/>
          <w:sz w:val="20"/>
          <w:szCs w:val="20"/>
        </w:rPr>
        <w:t xml:space="preserve"> </w:t>
      </w:r>
      <w:r w:rsidR="000368E9" w:rsidRPr="005E609B">
        <w:rPr>
          <w:rFonts w:ascii="Verdana" w:hAnsi="Verdana"/>
          <w:b/>
          <w:sz w:val="20"/>
          <w:szCs w:val="20"/>
        </w:rPr>
        <w:t xml:space="preserve">и </w:t>
      </w:r>
      <w:r w:rsidRPr="005E609B">
        <w:rPr>
          <w:rFonts w:ascii="Verdana" w:hAnsi="Verdana"/>
          <w:b/>
          <w:sz w:val="20"/>
          <w:szCs w:val="20"/>
        </w:rPr>
        <w:t xml:space="preserve">разширяване на обхвата на акредитация. </w:t>
      </w:r>
    </w:p>
    <w:p w14:paraId="5B6357E0" w14:textId="77777777" w:rsidR="00DF17EC" w:rsidRPr="005E609B" w:rsidRDefault="00DF17EC" w:rsidP="00481DC8">
      <w:pPr>
        <w:jc w:val="both"/>
        <w:rPr>
          <w:rFonts w:ascii="Verdana" w:hAnsi="Verdana"/>
          <w:b/>
          <w:sz w:val="20"/>
          <w:szCs w:val="20"/>
        </w:rPr>
      </w:pPr>
    </w:p>
    <w:p w14:paraId="0D2F1162" w14:textId="77777777" w:rsidR="00195C3B" w:rsidRPr="001D2FD0" w:rsidRDefault="00195C3B" w:rsidP="001D2FD0">
      <w:pPr>
        <w:numPr>
          <w:ilvl w:val="0"/>
          <w:numId w:val="14"/>
        </w:numPr>
        <w:ind w:left="0" w:firstLine="0"/>
        <w:jc w:val="both"/>
        <w:rPr>
          <w:rFonts w:ascii="Verdana" w:hAnsi="Verdana"/>
          <w:b/>
          <w:sz w:val="20"/>
          <w:szCs w:val="20"/>
        </w:rPr>
      </w:pPr>
      <w:r w:rsidRPr="001D2FD0">
        <w:rPr>
          <w:rFonts w:ascii="Verdana" w:hAnsi="Verdana"/>
          <w:b/>
          <w:sz w:val="20"/>
          <w:szCs w:val="20"/>
        </w:rPr>
        <w:t>Преиздаване на сертификат за акредитация</w:t>
      </w:r>
      <w:r w:rsidR="008F328C" w:rsidRPr="001D2FD0">
        <w:rPr>
          <w:rFonts w:ascii="Verdana" w:hAnsi="Verdana"/>
          <w:b/>
          <w:sz w:val="20"/>
          <w:szCs w:val="20"/>
        </w:rPr>
        <w:t>.</w:t>
      </w:r>
    </w:p>
    <w:p w14:paraId="61BA8A62" w14:textId="77777777" w:rsidR="00C03C52" w:rsidRPr="001D2FD0" w:rsidRDefault="00C03C52" w:rsidP="00481DC8">
      <w:pPr>
        <w:jc w:val="both"/>
        <w:rPr>
          <w:rFonts w:ascii="Verdana" w:hAnsi="Verdana"/>
          <w:b/>
          <w:sz w:val="20"/>
          <w:szCs w:val="20"/>
        </w:rPr>
      </w:pPr>
    </w:p>
    <w:p w14:paraId="4C5BAAC4" w14:textId="77777777" w:rsidR="007E566F" w:rsidRPr="001D2FD0" w:rsidRDefault="000E3AFA" w:rsidP="00481DC8">
      <w:pPr>
        <w:jc w:val="both"/>
        <w:rPr>
          <w:rFonts w:ascii="Verdana" w:hAnsi="Verdana"/>
          <w:sz w:val="20"/>
          <w:szCs w:val="20"/>
        </w:rPr>
      </w:pPr>
      <w:r w:rsidRPr="001D2FD0">
        <w:rPr>
          <w:rFonts w:ascii="Verdana" w:hAnsi="Verdana"/>
          <w:sz w:val="20"/>
          <w:szCs w:val="20"/>
        </w:rPr>
        <w:t>След установяване, чрез оценка на място</w:t>
      </w:r>
      <w:r w:rsidR="00450A78" w:rsidRPr="001D2FD0">
        <w:rPr>
          <w:rFonts w:ascii="Verdana" w:hAnsi="Verdana"/>
          <w:sz w:val="20"/>
          <w:szCs w:val="20"/>
        </w:rPr>
        <w:t xml:space="preserve"> (планов надзор, </w:t>
      </w:r>
      <w:proofErr w:type="spellStart"/>
      <w:r w:rsidR="00450A78" w:rsidRPr="001D2FD0">
        <w:rPr>
          <w:rFonts w:ascii="Verdana" w:hAnsi="Verdana"/>
          <w:sz w:val="20"/>
          <w:szCs w:val="20"/>
        </w:rPr>
        <w:t>преакредитация</w:t>
      </w:r>
      <w:proofErr w:type="spellEnd"/>
      <w:r w:rsidR="000368E9" w:rsidRPr="001D2FD0">
        <w:rPr>
          <w:rFonts w:ascii="Verdana" w:hAnsi="Verdana"/>
          <w:sz w:val="20"/>
          <w:szCs w:val="20"/>
        </w:rPr>
        <w:t xml:space="preserve"> и</w:t>
      </w:r>
      <w:r w:rsidR="00DF0161" w:rsidRPr="001D2FD0">
        <w:rPr>
          <w:rFonts w:ascii="Verdana" w:hAnsi="Verdana"/>
          <w:b/>
          <w:sz w:val="20"/>
          <w:szCs w:val="20"/>
        </w:rPr>
        <w:t xml:space="preserve"> </w:t>
      </w:r>
      <w:r w:rsidR="00DF0161" w:rsidRPr="001D2FD0">
        <w:rPr>
          <w:rFonts w:ascii="Verdana" w:hAnsi="Verdana"/>
          <w:sz w:val="20"/>
          <w:szCs w:val="20"/>
        </w:rPr>
        <w:t>разширяване на обхвата на акредитация</w:t>
      </w:r>
      <w:r w:rsidR="00450A78" w:rsidRPr="001D2FD0">
        <w:rPr>
          <w:rFonts w:ascii="Verdana" w:hAnsi="Verdana"/>
          <w:sz w:val="20"/>
          <w:szCs w:val="20"/>
        </w:rPr>
        <w:t>)</w:t>
      </w:r>
      <w:r w:rsidR="00195C3B" w:rsidRPr="001D2FD0">
        <w:rPr>
          <w:rFonts w:ascii="Verdana" w:hAnsi="Verdana"/>
          <w:sz w:val="20"/>
          <w:szCs w:val="20"/>
        </w:rPr>
        <w:t>,</w:t>
      </w:r>
      <w:r w:rsidRPr="001D2FD0">
        <w:rPr>
          <w:rFonts w:ascii="Verdana" w:hAnsi="Verdana"/>
          <w:sz w:val="20"/>
          <w:szCs w:val="20"/>
        </w:rPr>
        <w:t xml:space="preserve"> че акредитираните </w:t>
      </w:r>
      <w:r w:rsidR="001D2FD0" w:rsidRPr="001D2FD0">
        <w:rPr>
          <w:rFonts w:ascii="Verdana" w:hAnsi="Verdana"/>
          <w:sz w:val="20"/>
          <w:szCs w:val="20"/>
        </w:rPr>
        <w:t xml:space="preserve">медицински </w:t>
      </w:r>
      <w:r w:rsidR="00A13906" w:rsidRPr="001D2FD0">
        <w:rPr>
          <w:rFonts w:ascii="Verdana" w:hAnsi="Verdana"/>
          <w:sz w:val="20"/>
          <w:szCs w:val="20"/>
        </w:rPr>
        <w:t>лаборатории</w:t>
      </w:r>
      <w:r w:rsidR="008F328C" w:rsidRPr="001D2FD0">
        <w:rPr>
          <w:rFonts w:ascii="Verdana" w:hAnsi="Verdana"/>
          <w:sz w:val="20"/>
          <w:szCs w:val="20"/>
        </w:rPr>
        <w:t xml:space="preserve"> </w:t>
      </w:r>
      <w:r w:rsidRPr="001D2FD0">
        <w:rPr>
          <w:rFonts w:ascii="Verdana" w:hAnsi="Verdana"/>
          <w:sz w:val="20"/>
          <w:szCs w:val="20"/>
        </w:rPr>
        <w:t xml:space="preserve">съответстват </w:t>
      </w:r>
      <w:r w:rsidR="007E566F" w:rsidRPr="001D2FD0">
        <w:rPr>
          <w:rFonts w:ascii="Verdana" w:hAnsi="Verdana"/>
          <w:sz w:val="20"/>
          <w:szCs w:val="20"/>
        </w:rPr>
        <w:t xml:space="preserve">на изискванията </w:t>
      </w:r>
      <w:r w:rsidR="00450A78" w:rsidRPr="001D2FD0">
        <w:rPr>
          <w:rFonts w:ascii="Verdana" w:hAnsi="Verdana"/>
          <w:sz w:val="20"/>
          <w:szCs w:val="20"/>
        </w:rPr>
        <w:t>на</w:t>
      </w:r>
      <w:r w:rsidR="008F328C" w:rsidRPr="001D2FD0">
        <w:rPr>
          <w:rFonts w:ascii="Verdana" w:hAnsi="Verdana"/>
          <w:sz w:val="20"/>
          <w:szCs w:val="20"/>
        </w:rPr>
        <w:t xml:space="preserve"> </w:t>
      </w:r>
      <w:r w:rsidR="001D2FD0" w:rsidRPr="001D2FD0">
        <w:rPr>
          <w:rFonts w:ascii="Verdana" w:hAnsi="Verdana"/>
          <w:sz w:val="20"/>
          <w:szCs w:val="20"/>
        </w:rPr>
        <w:t>ISO 15189:2022</w:t>
      </w:r>
      <w:r w:rsidR="007E566F" w:rsidRPr="001D2FD0">
        <w:rPr>
          <w:rFonts w:ascii="Verdana" w:hAnsi="Verdana"/>
          <w:sz w:val="20"/>
          <w:szCs w:val="20"/>
        </w:rPr>
        <w:t>,</w:t>
      </w:r>
      <w:r w:rsidR="008F328C" w:rsidRPr="001D2FD0">
        <w:rPr>
          <w:rFonts w:ascii="Verdana" w:hAnsi="Verdana"/>
          <w:sz w:val="20"/>
          <w:szCs w:val="20"/>
        </w:rPr>
        <w:t xml:space="preserve"> </w:t>
      </w:r>
      <w:r w:rsidR="007E566F" w:rsidRPr="001D2FD0">
        <w:rPr>
          <w:rFonts w:ascii="Verdana" w:hAnsi="Verdana"/>
          <w:sz w:val="20"/>
          <w:szCs w:val="20"/>
        </w:rPr>
        <w:t>ИА БСА ще преиздава сертификати</w:t>
      </w:r>
      <w:r w:rsidRPr="001D2FD0">
        <w:rPr>
          <w:rFonts w:ascii="Verdana" w:hAnsi="Verdana"/>
          <w:sz w:val="20"/>
          <w:szCs w:val="20"/>
        </w:rPr>
        <w:t>те</w:t>
      </w:r>
      <w:r w:rsidR="007E566F" w:rsidRPr="001D2FD0">
        <w:rPr>
          <w:rFonts w:ascii="Verdana" w:hAnsi="Verdana"/>
          <w:sz w:val="20"/>
          <w:szCs w:val="20"/>
        </w:rPr>
        <w:t xml:space="preserve"> за акр</w:t>
      </w:r>
      <w:r w:rsidR="00450A78" w:rsidRPr="001D2FD0">
        <w:rPr>
          <w:rFonts w:ascii="Verdana" w:hAnsi="Verdana"/>
          <w:sz w:val="20"/>
          <w:szCs w:val="20"/>
        </w:rPr>
        <w:t xml:space="preserve">едитация по </w:t>
      </w:r>
      <w:r w:rsidR="001D2FD0" w:rsidRPr="001D2FD0">
        <w:rPr>
          <w:rFonts w:ascii="Verdana" w:hAnsi="Verdana"/>
          <w:sz w:val="20"/>
          <w:szCs w:val="20"/>
        </w:rPr>
        <w:t xml:space="preserve">ISO 15189:2022 </w:t>
      </w:r>
      <w:r w:rsidR="009336CF" w:rsidRPr="001D2FD0">
        <w:rPr>
          <w:rStyle w:val="Strong"/>
          <w:rFonts w:ascii="Verdana" w:hAnsi="Verdana"/>
          <w:b w:val="0"/>
          <w:sz w:val="20"/>
          <w:szCs w:val="20"/>
        </w:rPr>
        <w:t xml:space="preserve"> </w:t>
      </w:r>
      <w:r w:rsidR="007E566F" w:rsidRPr="001D2FD0">
        <w:rPr>
          <w:rFonts w:ascii="Verdana" w:hAnsi="Verdana"/>
          <w:sz w:val="20"/>
          <w:szCs w:val="20"/>
        </w:rPr>
        <w:t>със срок на валидност определен в сертификата за акредитация</w:t>
      </w:r>
      <w:r w:rsidR="00450A78" w:rsidRPr="001D2FD0">
        <w:rPr>
          <w:rFonts w:ascii="Verdana" w:hAnsi="Verdana"/>
          <w:sz w:val="20"/>
          <w:szCs w:val="20"/>
        </w:rPr>
        <w:t xml:space="preserve"> издаден по </w:t>
      </w:r>
      <w:r w:rsidR="001D2FD0" w:rsidRPr="001D2FD0">
        <w:rPr>
          <w:rFonts w:ascii="Verdana" w:hAnsi="Verdana"/>
          <w:sz w:val="20"/>
          <w:szCs w:val="20"/>
        </w:rPr>
        <w:t>ISO 15189:2012</w:t>
      </w:r>
      <w:r w:rsidR="007E566F" w:rsidRPr="001D2FD0">
        <w:rPr>
          <w:rFonts w:ascii="Verdana" w:hAnsi="Verdana"/>
          <w:sz w:val="20"/>
          <w:szCs w:val="20"/>
        </w:rPr>
        <w:t>.</w:t>
      </w:r>
    </w:p>
    <w:p w14:paraId="73B300E2" w14:textId="77777777" w:rsidR="00DF17EC" w:rsidRPr="001D2FD0" w:rsidRDefault="00DF17EC" w:rsidP="00481DC8">
      <w:pPr>
        <w:jc w:val="both"/>
        <w:rPr>
          <w:rFonts w:ascii="Verdana" w:hAnsi="Verdana"/>
          <w:b/>
          <w:sz w:val="20"/>
          <w:szCs w:val="20"/>
        </w:rPr>
      </w:pPr>
    </w:p>
    <w:p w14:paraId="3535DC95" w14:textId="77777777" w:rsidR="00C03C52" w:rsidRPr="001D2FD0" w:rsidRDefault="000E3AFA" w:rsidP="001D2FD0">
      <w:pPr>
        <w:pStyle w:val="NormalWeb"/>
        <w:numPr>
          <w:ilvl w:val="0"/>
          <w:numId w:val="14"/>
        </w:numPr>
        <w:spacing w:after="0"/>
        <w:ind w:left="0" w:firstLine="0"/>
        <w:jc w:val="both"/>
        <w:rPr>
          <w:rFonts w:ascii="Verdana" w:hAnsi="Verdana"/>
          <w:b/>
          <w:sz w:val="20"/>
          <w:szCs w:val="20"/>
        </w:rPr>
      </w:pPr>
      <w:r w:rsidRPr="001D2FD0">
        <w:rPr>
          <w:rFonts w:ascii="Verdana" w:hAnsi="Verdana"/>
          <w:b/>
          <w:sz w:val="20"/>
          <w:szCs w:val="20"/>
        </w:rPr>
        <w:t>Политика за прехода</w:t>
      </w:r>
      <w:r w:rsidR="007303A9" w:rsidRPr="001D2FD0">
        <w:rPr>
          <w:rFonts w:ascii="Verdana" w:hAnsi="Verdana"/>
          <w:b/>
          <w:sz w:val="20"/>
          <w:szCs w:val="20"/>
        </w:rPr>
        <w:t xml:space="preserve"> от акредитац</w:t>
      </w:r>
      <w:r w:rsidR="00450A78" w:rsidRPr="001D2FD0">
        <w:rPr>
          <w:rFonts w:ascii="Verdana" w:hAnsi="Verdana"/>
          <w:b/>
          <w:sz w:val="20"/>
          <w:szCs w:val="20"/>
        </w:rPr>
        <w:t xml:space="preserve">ия съгласно </w:t>
      </w:r>
      <w:r w:rsidR="001D2FD0" w:rsidRPr="001D2FD0">
        <w:rPr>
          <w:rFonts w:ascii="Verdana" w:hAnsi="Verdana"/>
          <w:b/>
          <w:bCs/>
          <w:sz w:val="20"/>
          <w:szCs w:val="20"/>
        </w:rPr>
        <w:t xml:space="preserve">ISO 15189:2012 </w:t>
      </w:r>
      <w:r w:rsidR="00C03C52" w:rsidRPr="001D2FD0">
        <w:rPr>
          <w:rStyle w:val="Strong"/>
          <w:rFonts w:ascii="Verdana" w:hAnsi="Verdana"/>
          <w:sz w:val="20"/>
          <w:szCs w:val="20"/>
        </w:rPr>
        <w:t xml:space="preserve">към акредитация съгласно </w:t>
      </w:r>
      <w:r w:rsidR="001D2FD0" w:rsidRPr="001D2FD0">
        <w:rPr>
          <w:rFonts w:ascii="Verdana" w:hAnsi="Verdana"/>
          <w:b/>
          <w:bCs/>
          <w:sz w:val="20"/>
          <w:szCs w:val="20"/>
        </w:rPr>
        <w:t>ISO 15189:2022</w:t>
      </w:r>
      <w:r w:rsidR="00C03C52" w:rsidRPr="001D2FD0">
        <w:rPr>
          <w:rFonts w:ascii="Verdana" w:hAnsi="Verdana"/>
          <w:b/>
          <w:bCs/>
          <w:sz w:val="20"/>
          <w:szCs w:val="20"/>
        </w:rPr>
        <w:t>.</w:t>
      </w:r>
    </w:p>
    <w:p w14:paraId="6E5C0AFB" w14:textId="77777777" w:rsidR="00A13906" w:rsidRPr="001D2FD0" w:rsidRDefault="00A13906" w:rsidP="00481DC8">
      <w:pPr>
        <w:jc w:val="both"/>
        <w:rPr>
          <w:rFonts w:ascii="Verdana" w:hAnsi="Verdana"/>
          <w:b/>
          <w:sz w:val="20"/>
          <w:szCs w:val="20"/>
        </w:rPr>
      </w:pPr>
    </w:p>
    <w:p w14:paraId="5C1E2AA1" w14:textId="77777777" w:rsidR="00B72149" w:rsidRPr="00E3025D" w:rsidRDefault="0096662B" w:rsidP="001D2FD0">
      <w:pPr>
        <w:spacing w:after="120"/>
        <w:jc w:val="both"/>
        <w:rPr>
          <w:rFonts w:ascii="Verdana" w:hAnsi="Verdana"/>
          <w:sz w:val="20"/>
          <w:szCs w:val="20"/>
        </w:rPr>
      </w:pPr>
      <w:r w:rsidRPr="001D2FD0">
        <w:rPr>
          <w:rFonts w:ascii="Verdana" w:hAnsi="Verdana"/>
          <w:sz w:val="20"/>
          <w:szCs w:val="20"/>
        </w:rPr>
        <w:t xml:space="preserve">След </w:t>
      </w:r>
      <w:r w:rsidR="00DF17EC" w:rsidRPr="001D2FD0">
        <w:rPr>
          <w:rFonts w:ascii="Verdana" w:hAnsi="Verdana"/>
          <w:b/>
          <w:sz w:val="20"/>
          <w:szCs w:val="20"/>
        </w:rPr>
        <w:t>01</w:t>
      </w:r>
      <w:r w:rsidRPr="001D2FD0">
        <w:rPr>
          <w:rFonts w:ascii="Verdana" w:hAnsi="Verdana"/>
          <w:b/>
          <w:sz w:val="20"/>
          <w:szCs w:val="20"/>
        </w:rPr>
        <w:t>.0</w:t>
      </w:r>
      <w:r w:rsidR="00C03C52" w:rsidRPr="001D2FD0">
        <w:rPr>
          <w:rFonts w:ascii="Verdana" w:hAnsi="Verdana"/>
          <w:b/>
          <w:sz w:val="20"/>
          <w:szCs w:val="20"/>
          <w:lang w:val="en-US"/>
        </w:rPr>
        <w:t>8</w:t>
      </w:r>
      <w:r w:rsidR="00C03C52" w:rsidRPr="001D2FD0">
        <w:rPr>
          <w:rFonts w:ascii="Verdana" w:hAnsi="Verdana"/>
          <w:b/>
          <w:sz w:val="20"/>
          <w:szCs w:val="20"/>
        </w:rPr>
        <w:t>.20</w:t>
      </w:r>
      <w:r w:rsidR="001D2FD0" w:rsidRPr="001D2FD0">
        <w:rPr>
          <w:rFonts w:ascii="Verdana" w:hAnsi="Verdana"/>
          <w:b/>
          <w:sz w:val="20"/>
          <w:szCs w:val="20"/>
        </w:rPr>
        <w:t>23</w:t>
      </w:r>
      <w:r w:rsidR="00C03C52" w:rsidRPr="001D2FD0">
        <w:rPr>
          <w:rFonts w:ascii="Verdana" w:hAnsi="Verdana"/>
          <w:b/>
          <w:sz w:val="20"/>
          <w:szCs w:val="20"/>
        </w:rPr>
        <w:t xml:space="preserve"> </w:t>
      </w:r>
      <w:r w:rsidR="00DF17EC" w:rsidRPr="001D2FD0">
        <w:rPr>
          <w:rFonts w:ascii="Verdana" w:hAnsi="Verdana"/>
          <w:b/>
          <w:sz w:val="20"/>
          <w:szCs w:val="20"/>
        </w:rPr>
        <w:t>г</w:t>
      </w:r>
      <w:r w:rsidR="00DF17EC" w:rsidRPr="001D2FD0">
        <w:rPr>
          <w:rFonts w:ascii="Verdana" w:hAnsi="Verdana"/>
          <w:sz w:val="20"/>
          <w:szCs w:val="20"/>
        </w:rPr>
        <w:t>.</w:t>
      </w:r>
      <w:r w:rsidR="00150E2C" w:rsidRPr="001D2FD0">
        <w:rPr>
          <w:rFonts w:ascii="Verdana" w:hAnsi="Verdana"/>
          <w:sz w:val="20"/>
          <w:szCs w:val="20"/>
        </w:rPr>
        <w:t xml:space="preserve"> </w:t>
      </w:r>
      <w:r w:rsidR="00B72149" w:rsidRPr="001D2FD0">
        <w:rPr>
          <w:rFonts w:ascii="Verdana" w:hAnsi="Verdana"/>
          <w:sz w:val="20"/>
          <w:szCs w:val="20"/>
        </w:rPr>
        <w:t xml:space="preserve">ИА </w:t>
      </w:r>
      <w:r w:rsidR="00B72149" w:rsidRPr="00E3025D">
        <w:rPr>
          <w:rFonts w:ascii="Verdana" w:hAnsi="Verdana"/>
          <w:sz w:val="20"/>
          <w:szCs w:val="20"/>
        </w:rPr>
        <w:t xml:space="preserve">БСА </w:t>
      </w:r>
      <w:r w:rsidR="00150E2C" w:rsidRPr="00E3025D">
        <w:rPr>
          <w:rFonts w:ascii="Verdana" w:hAnsi="Verdana"/>
          <w:sz w:val="20"/>
          <w:szCs w:val="20"/>
        </w:rPr>
        <w:t xml:space="preserve">ще приема </w:t>
      </w:r>
      <w:r w:rsidR="00B72149" w:rsidRPr="00E3025D">
        <w:rPr>
          <w:rFonts w:ascii="Verdana" w:hAnsi="Verdana"/>
          <w:sz w:val="20"/>
          <w:szCs w:val="20"/>
        </w:rPr>
        <w:t>документи за акредитация/</w:t>
      </w:r>
      <w:r w:rsidR="00150E2C" w:rsidRPr="00E3025D">
        <w:rPr>
          <w:rFonts w:ascii="Verdana" w:hAnsi="Verdana"/>
          <w:sz w:val="20"/>
          <w:szCs w:val="20"/>
        </w:rPr>
        <w:t xml:space="preserve"> </w:t>
      </w:r>
      <w:proofErr w:type="spellStart"/>
      <w:r w:rsidR="00B72149" w:rsidRPr="00E3025D">
        <w:rPr>
          <w:rFonts w:ascii="Verdana" w:hAnsi="Verdana"/>
          <w:sz w:val="20"/>
          <w:szCs w:val="20"/>
        </w:rPr>
        <w:t>преакредитация</w:t>
      </w:r>
      <w:proofErr w:type="spellEnd"/>
      <w:r w:rsidR="00B72149" w:rsidRPr="00E3025D">
        <w:rPr>
          <w:rFonts w:ascii="Verdana" w:hAnsi="Verdana"/>
          <w:sz w:val="20"/>
          <w:szCs w:val="20"/>
        </w:rPr>
        <w:t>/</w:t>
      </w:r>
      <w:r w:rsidR="00150E2C" w:rsidRPr="00E3025D">
        <w:rPr>
          <w:rFonts w:ascii="Verdana" w:hAnsi="Verdana"/>
          <w:sz w:val="20"/>
          <w:szCs w:val="20"/>
        </w:rPr>
        <w:t xml:space="preserve"> </w:t>
      </w:r>
      <w:r w:rsidR="00B72149" w:rsidRPr="00E3025D">
        <w:rPr>
          <w:rFonts w:ascii="Verdana" w:hAnsi="Verdana"/>
          <w:sz w:val="20"/>
          <w:szCs w:val="20"/>
        </w:rPr>
        <w:t>разширя</w:t>
      </w:r>
      <w:r w:rsidR="00F3499E" w:rsidRPr="00E3025D">
        <w:rPr>
          <w:rFonts w:ascii="Verdana" w:hAnsi="Verdana"/>
          <w:sz w:val="20"/>
          <w:szCs w:val="20"/>
        </w:rPr>
        <w:t xml:space="preserve">ване на обхвата на акредитация </w:t>
      </w:r>
      <w:r w:rsidR="00150E2C" w:rsidRPr="00E3025D">
        <w:rPr>
          <w:rFonts w:ascii="Verdana" w:hAnsi="Verdana"/>
          <w:sz w:val="20"/>
          <w:szCs w:val="20"/>
        </w:rPr>
        <w:t xml:space="preserve">само по </w:t>
      </w:r>
      <w:r w:rsidR="00B72149" w:rsidRPr="00E3025D">
        <w:rPr>
          <w:rFonts w:ascii="Verdana" w:hAnsi="Verdana"/>
          <w:sz w:val="20"/>
          <w:szCs w:val="20"/>
        </w:rPr>
        <w:t xml:space="preserve">стандарт </w:t>
      </w:r>
      <w:r w:rsidR="001D2FD0" w:rsidRPr="00E3025D">
        <w:rPr>
          <w:rFonts w:ascii="Verdana" w:hAnsi="Verdana"/>
          <w:sz w:val="20"/>
          <w:szCs w:val="20"/>
        </w:rPr>
        <w:t>ISO 15189:2022</w:t>
      </w:r>
      <w:r w:rsidR="00B72149" w:rsidRPr="00E3025D">
        <w:rPr>
          <w:rFonts w:ascii="Verdana" w:hAnsi="Verdana"/>
          <w:sz w:val="20"/>
          <w:szCs w:val="20"/>
        </w:rPr>
        <w:t>.</w:t>
      </w:r>
    </w:p>
    <w:p w14:paraId="0C564E9D" w14:textId="77777777" w:rsidR="00520712" w:rsidRPr="00E3025D" w:rsidRDefault="0096662B" w:rsidP="00481DC8">
      <w:pPr>
        <w:jc w:val="both"/>
        <w:rPr>
          <w:rFonts w:ascii="Verdana" w:hAnsi="Verdana"/>
          <w:sz w:val="20"/>
          <w:szCs w:val="20"/>
        </w:rPr>
      </w:pPr>
      <w:r w:rsidRPr="00E3025D">
        <w:rPr>
          <w:rFonts w:ascii="Verdana" w:hAnsi="Verdana"/>
          <w:sz w:val="20"/>
          <w:szCs w:val="20"/>
        </w:rPr>
        <w:t xml:space="preserve">След </w:t>
      </w:r>
      <w:r w:rsidR="000D58DA" w:rsidRPr="00E3025D">
        <w:rPr>
          <w:rFonts w:ascii="Verdana" w:hAnsi="Verdana"/>
          <w:b/>
          <w:sz w:val="20"/>
          <w:szCs w:val="20"/>
          <w:lang w:val="en-US"/>
        </w:rPr>
        <w:t>01</w:t>
      </w:r>
      <w:r w:rsidRPr="00E3025D">
        <w:rPr>
          <w:rFonts w:ascii="Verdana" w:hAnsi="Verdana"/>
          <w:b/>
          <w:sz w:val="20"/>
          <w:szCs w:val="20"/>
        </w:rPr>
        <w:t>.</w:t>
      </w:r>
      <w:r w:rsidR="00C03C52" w:rsidRPr="00E3025D">
        <w:rPr>
          <w:rFonts w:ascii="Verdana" w:hAnsi="Verdana"/>
          <w:b/>
          <w:sz w:val="20"/>
          <w:szCs w:val="20"/>
          <w:lang w:val="en-US"/>
        </w:rPr>
        <w:t>11</w:t>
      </w:r>
      <w:r w:rsidR="001D2FD0" w:rsidRPr="00E3025D">
        <w:rPr>
          <w:rFonts w:ascii="Verdana" w:hAnsi="Verdana"/>
          <w:b/>
          <w:sz w:val="20"/>
          <w:szCs w:val="20"/>
        </w:rPr>
        <w:t xml:space="preserve">.2023 </w:t>
      </w:r>
      <w:r w:rsidR="00F3499E" w:rsidRPr="00E3025D">
        <w:rPr>
          <w:rFonts w:ascii="Verdana" w:hAnsi="Verdana"/>
          <w:b/>
          <w:sz w:val="20"/>
          <w:szCs w:val="20"/>
        </w:rPr>
        <w:t>г.</w:t>
      </w:r>
      <w:r w:rsidR="00F3499E" w:rsidRPr="00E3025D">
        <w:rPr>
          <w:rFonts w:ascii="Verdana" w:hAnsi="Verdana"/>
          <w:sz w:val="20"/>
          <w:szCs w:val="20"/>
        </w:rPr>
        <w:t xml:space="preserve"> ИА БСА ще извършва оценки </w:t>
      </w:r>
      <w:r w:rsidRPr="00E3025D">
        <w:rPr>
          <w:rFonts w:ascii="Verdana" w:hAnsi="Verdana"/>
          <w:sz w:val="20"/>
          <w:szCs w:val="20"/>
        </w:rPr>
        <w:t xml:space="preserve">само </w:t>
      </w:r>
      <w:r w:rsidR="00B72149" w:rsidRPr="00E3025D">
        <w:rPr>
          <w:rFonts w:ascii="Verdana" w:hAnsi="Verdana"/>
          <w:sz w:val="20"/>
          <w:szCs w:val="20"/>
        </w:rPr>
        <w:t>по стандарт</w:t>
      </w:r>
      <w:r w:rsidR="00C03C52" w:rsidRPr="00E3025D">
        <w:rPr>
          <w:rFonts w:ascii="Verdana" w:hAnsi="Verdana"/>
          <w:sz w:val="20"/>
          <w:szCs w:val="20"/>
        </w:rPr>
        <w:t xml:space="preserve"> </w:t>
      </w:r>
      <w:r w:rsidR="001D2FD0" w:rsidRPr="00E3025D">
        <w:rPr>
          <w:rFonts w:ascii="Verdana" w:hAnsi="Verdana"/>
          <w:sz w:val="20"/>
          <w:szCs w:val="20"/>
        </w:rPr>
        <w:t>ISO 15189:2022</w:t>
      </w:r>
      <w:r w:rsidR="00520712" w:rsidRPr="00E3025D">
        <w:rPr>
          <w:rFonts w:ascii="Verdana" w:hAnsi="Verdana"/>
          <w:sz w:val="20"/>
          <w:szCs w:val="20"/>
        </w:rPr>
        <w:t>.</w:t>
      </w:r>
    </w:p>
    <w:p w14:paraId="661294A1" w14:textId="77777777" w:rsidR="00DF17EC" w:rsidRPr="00E3025D" w:rsidRDefault="00DF17EC" w:rsidP="00481DC8">
      <w:pPr>
        <w:jc w:val="both"/>
        <w:rPr>
          <w:rFonts w:ascii="Verdana" w:hAnsi="Verdana"/>
          <w:b/>
          <w:sz w:val="20"/>
          <w:szCs w:val="20"/>
        </w:rPr>
      </w:pPr>
    </w:p>
    <w:p w14:paraId="71DCDC25" w14:textId="77777777" w:rsidR="00394022" w:rsidRPr="00E3025D" w:rsidRDefault="00394022" w:rsidP="001D2FD0">
      <w:pPr>
        <w:numPr>
          <w:ilvl w:val="0"/>
          <w:numId w:val="14"/>
        </w:numPr>
        <w:ind w:left="0" w:firstLine="0"/>
        <w:jc w:val="both"/>
        <w:rPr>
          <w:rFonts w:ascii="Verdana" w:hAnsi="Verdana"/>
          <w:b/>
          <w:sz w:val="20"/>
          <w:szCs w:val="20"/>
        </w:rPr>
      </w:pPr>
      <w:r w:rsidRPr="00E3025D">
        <w:rPr>
          <w:rFonts w:ascii="Verdana" w:hAnsi="Verdana"/>
          <w:b/>
          <w:sz w:val="20"/>
          <w:szCs w:val="20"/>
        </w:rPr>
        <w:t>Несъответствия</w:t>
      </w:r>
      <w:r w:rsidR="00520712" w:rsidRPr="00E3025D">
        <w:rPr>
          <w:rFonts w:ascii="Verdana" w:hAnsi="Verdana"/>
          <w:b/>
          <w:sz w:val="20"/>
          <w:szCs w:val="20"/>
        </w:rPr>
        <w:t xml:space="preserve"> и коригиращи </w:t>
      </w:r>
      <w:r w:rsidR="00C03C52" w:rsidRPr="00E3025D">
        <w:rPr>
          <w:rFonts w:ascii="Verdana" w:hAnsi="Verdana"/>
          <w:b/>
          <w:sz w:val="20"/>
          <w:szCs w:val="20"/>
        </w:rPr>
        <w:t xml:space="preserve">действия по изискванията на </w:t>
      </w:r>
      <w:r w:rsidR="001D2FD0" w:rsidRPr="00E3025D">
        <w:rPr>
          <w:rFonts w:ascii="Verdana" w:hAnsi="Verdana"/>
          <w:sz w:val="20"/>
          <w:szCs w:val="20"/>
        </w:rPr>
        <w:t>ISO 15189:2022</w:t>
      </w:r>
      <w:r w:rsidRPr="00E3025D">
        <w:rPr>
          <w:rFonts w:ascii="Verdana" w:hAnsi="Verdana"/>
          <w:sz w:val="20"/>
          <w:szCs w:val="20"/>
        </w:rPr>
        <w:t xml:space="preserve">. </w:t>
      </w:r>
    </w:p>
    <w:p w14:paraId="40F67AB7" w14:textId="77777777" w:rsidR="00C03C52" w:rsidRPr="00E3025D" w:rsidRDefault="00C03C52" w:rsidP="00481DC8">
      <w:pPr>
        <w:jc w:val="both"/>
        <w:rPr>
          <w:rFonts w:ascii="Verdana" w:hAnsi="Verdana"/>
          <w:b/>
          <w:sz w:val="20"/>
          <w:szCs w:val="20"/>
        </w:rPr>
      </w:pPr>
    </w:p>
    <w:p w14:paraId="4ACEA150" w14:textId="77777777" w:rsidR="009A2C7B" w:rsidRPr="0033591B" w:rsidRDefault="0017056C" w:rsidP="00481DC8">
      <w:pPr>
        <w:jc w:val="both"/>
        <w:rPr>
          <w:rFonts w:ascii="Verdana" w:hAnsi="Verdana"/>
          <w:sz w:val="20"/>
          <w:szCs w:val="20"/>
        </w:rPr>
      </w:pPr>
      <w:r w:rsidRPr="00E3025D">
        <w:rPr>
          <w:rFonts w:ascii="Verdana" w:hAnsi="Verdana"/>
          <w:sz w:val="20"/>
          <w:szCs w:val="20"/>
        </w:rPr>
        <w:t xml:space="preserve">Несъответствията установени по време на оценка </w:t>
      </w:r>
      <w:r w:rsidR="00F2158B" w:rsidRPr="00E3025D">
        <w:rPr>
          <w:rFonts w:ascii="Verdana" w:hAnsi="Verdana"/>
          <w:sz w:val="20"/>
          <w:szCs w:val="20"/>
        </w:rPr>
        <w:t xml:space="preserve">на място </w:t>
      </w:r>
      <w:r w:rsidR="009336CF" w:rsidRPr="00E3025D">
        <w:rPr>
          <w:rFonts w:ascii="Verdana" w:hAnsi="Verdana"/>
          <w:sz w:val="20"/>
          <w:szCs w:val="20"/>
        </w:rPr>
        <w:t xml:space="preserve">съгласно </w:t>
      </w:r>
      <w:r w:rsidR="00C03C52" w:rsidRPr="00E3025D">
        <w:rPr>
          <w:rFonts w:ascii="Verdana" w:hAnsi="Verdana"/>
          <w:sz w:val="20"/>
          <w:szCs w:val="20"/>
        </w:rPr>
        <w:t>изискванията</w:t>
      </w:r>
      <w:r w:rsidR="00C03C52" w:rsidRPr="00E3025D">
        <w:rPr>
          <w:rFonts w:ascii="Verdana" w:hAnsi="Verdana"/>
          <w:b/>
          <w:sz w:val="20"/>
          <w:szCs w:val="20"/>
        </w:rPr>
        <w:t xml:space="preserve"> </w:t>
      </w:r>
      <w:r w:rsidR="00C03C52" w:rsidRPr="00E3025D">
        <w:rPr>
          <w:rFonts w:ascii="Verdana" w:hAnsi="Verdana"/>
          <w:sz w:val="20"/>
          <w:szCs w:val="20"/>
        </w:rPr>
        <w:t xml:space="preserve">на </w:t>
      </w:r>
      <w:r w:rsidR="00E3025D" w:rsidRPr="00E3025D">
        <w:rPr>
          <w:rFonts w:ascii="Verdana" w:hAnsi="Verdana"/>
          <w:sz w:val="20"/>
          <w:szCs w:val="20"/>
        </w:rPr>
        <w:t>ISO 15189:2022</w:t>
      </w:r>
      <w:r w:rsidR="003E2BA2" w:rsidRPr="00E3025D">
        <w:rPr>
          <w:rFonts w:ascii="Verdana" w:hAnsi="Verdana"/>
          <w:bCs/>
          <w:sz w:val="20"/>
          <w:szCs w:val="20"/>
        </w:rPr>
        <w:t xml:space="preserve"> </w:t>
      </w:r>
      <w:r w:rsidRPr="00E3025D">
        <w:rPr>
          <w:rFonts w:ascii="Verdana" w:hAnsi="Verdana"/>
          <w:sz w:val="20"/>
          <w:szCs w:val="20"/>
        </w:rPr>
        <w:t xml:space="preserve">трябва да бъдат закрити </w:t>
      </w:r>
      <w:r w:rsidR="009A2C7B" w:rsidRPr="00E3025D">
        <w:rPr>
          <w:rFonts w:ascii="Verdana" w:hAnsi="Verdana"/>
          <w:sz w:val="20"/>
          <w:szCs w:val="20"/>
        </w:rPr>
        <w:t xml:space="preserve">съгласно изискванията и в сроковете на Процедурата за </w:t>
      </w:r>
      <w:r w:rsidR="009A2C7B" w:rsidRPr="0033591B">
        <w:rPr>
          <w:rFonts w:ascii="Verdana" w:hAnsi="Verdana"/>
          <w:sz w:val="20"/>
          <w:szCs w:val="20"/>
        </w:rPr>
        <w:t xml:space="preserve">акредитация </w:t>
      </w:r>
      <w:smartTag w:uri="urn:schemas-microsoft-com:office:smarttags" w:element="stockticker">
        <w:r w:rsidR="009A2C7B" w:rsidRPr="0033591B">
          <w:rPr>
            <w:rFonts w:ascii="Verdana" w:hAnsi="Verdana"/>
            <w:sz w:val="20"/>
            <w:szCs w:val="20"/>
            <w:lang w:val="en-US"/>
          </w:rPr>
          <w:t>BAS</w:t>
        </w:r>
      </w:smartTag>
      <w:r w:rsidR="009A2C7B" w:rsidRPr="0033591B">
        <w:rPr>
          <w:rFonts w:ascii="Verdana" w:hAnsi="Verdana"/>
          <w:sz w:val="20"/>
          <w:szCs w:val="20"/>
          <w:lang w:val="en-US"/>
        </w:rPr>
        <w:t xml:space="preserve"> QR 2</w:t>
      </w:r>
      <w:r w:rsidR="009A2C7B" w:rsidRPr="0033591B">
        <w:rPr>
          <w:rFonts w:ascii="Verdana" w:hAnsi="Verdana"/>
          <w:sz w:val="20"/>
          <w:szCs w:val="20"/>
        </w:rPr>
        <w:t xml:space="preserve">. Тези несъответствия трябва да бъдат закрити </w:t>
      </w:r>
      <w:r w:rsidR="009336CF" w:rsidRPr="0033591B">
        <w:rPr>
          <w:rFonts w:ascii="Verdana" w:hAnsi="Verdana"/>
          <w:sz w:val="20"/>
          <w:szCs w:val="20"/>
        </w:rPr>
        <w:t xml:space="preserve">до </w:t>
      </w:r>
      <w:r w:rsidR="009A2C7B" w:rsidRPr="0033591B">
        <w:rPr>
          <w:rFonts w:ascii="Verdana" w:hAnsi="Verdana"/>
          <w:sz w:val="20"/>
          <w:szCs w:val="20"/>
        </w:rPr>
        <w:t>края на преходния период</w:t>
      </w:r>
      <w:r w:rsidR="008F328C" w:rsidRPr="0033591B">
        <w:rPr>
          <w:rFonts w:ascii="Verdana" w:hAnsi="Verdana"/>
          <w:sz w:val="20"/>
          <w:szCs w:val="20"/>
        </w:rPr>
        <w:t xml:space="preserve"> </w:t>
      </w:r>
      <w:r w:rsidR="009A2C7B" w:rsidRPr="0033591B">
        <w:rPr>
          <w:rFonts w:ascii="Verdana" w:hAnsi="Verdana"/>
          <w:sz w:val="20"/>
          <w:szCs w:val="20"/>
        </w:rPr>
        <w:t>и</w:t>
      </w:r>
      <w:r w:rsidR="00F2158B" w:rsidRPr="0033591B">
        <w:rPr>
          <w:rFonts w:ascii="Verdana" w:hAnsi="Verdana"/>
          <w:sz w:val="20"/>
          <w:szCs w:val="20"/>
        </w:rPr>
        <w:t>/или</w:t>
      </w:r>
      <w:r w:rsidR="009A2C7B" w:rsidRPr="0033591B">
        <w:rPr>
          <w:rFonts w:ascii="Verdana" w:hAnsi="Verdana"/>
          <w:sz w:val="20"/>
          <w:szCs w:val="20"/>
        </w:rPr>
        <w:t xml:space="preserve"> преди да бъде предоставена акредитация съгласно изискванията на </w:t>
      </w:r>
      <w:r w:rsidR="00E3025D" w:rsidRPr="0033591B">
        <w:rPr>
          <w:rFonts w:ascii="Verdana" w:hAnsi="Verdana"/>
          <w:sz w:val="20"/>
          <w:szCs w:val="20"/>
        </w:rPr>
        <w:t>ISO 15189:2022</w:t>
      </w:r>
      <w:r w:rsidR="008F328C" w:rsidRPr="0033591B">
        <w:rPr>
          <w:rFonts w:ascii="Verdana" w:hAnsi="Verdana"/>
          <w:sz w:val="20"/>
          <w:szCs w:val="20"/>
        </w:rPr>
        <w:t>.</w:t>
      </w:r>
    </w:p>
    <w:p w14:paraId="740F43F0" w14:textId="77777777" w:rsidR="00C03C52" w:rsidRPr="0033591B" w:rsidRDefault="00C03C52" w:rsidP="00481DC8">
      <w:pPr>
        <w:jc w:val="both"/>
        <w:rPr>
          <w:rFonts w:ascii="Verdana" w:hAnsi="Verdana"/>
          <w:sz w:val="20"/>
          <w:szCs w:val="20"/>
          <w:lang w:val="en-US"/>
        </w:rPr>
      </w:pPr>
    </w:p>
    <w:p w14:paraId="08AE5224" w14:textId="77777777" w:rsidR="0017056C" w:rsidRPr="0033591B" w:rsidRDefault="00394022" w:rsidP="00481DC8">
      <w:pPr>
        <w:jc w:val="both"/>
        <w:rPr>
          <w:rFonts w:ascii="Verdana" w:hAnsi="Verdana"/>
          <w:sz w:val="20"/>
          <w:szCs w:val="20"/>
        </w:rPr>
      </w:pPr>
      <w:r w:rsidRPr="0033591B">
        <w:rPr>
          <w:rFonts w:ascii="Verdana" w:hAnsi="Verdana"/>
          <w:sz w:val="20"/>
          <w:szCs w:val="20"/>
        </w:rPr>
        <w:t xml:space="preserve">Ако </w:t>
      </w:r>
      <w:r w:rsidR="001946B7" w:rsidRPr="0033591B">
        <w:rPr>
          <w:rFonts w:ascii="Verdana" w:hAnsi="Verdana"/>
          <w:sz w:val="20"/>
          <w:szCs w:val="20"/>
        </w:rPr>
        <w:t xml:space="preserve">до </w:t>
      </w:r>
      <w:r w:rsidRPr="0033591B">
        <w:rPr>
          <w:rFonts w:ascii="Verdana" w:hAnsi="Verdana"/>
          <w:sz w:val="20"/>
          <w:szCs w:val="20"/>
        </w:rPr>
        <w:t>края на преходния период</w:t>
      </w:r>
      <w:r w:rsidR="00D85145" w:rsidRPr="0033591B">
        <w:rPr>
          <w:rFonts w:ascii="Verdana" w:hAnsi="Verdana"/>
          <w:sz w:val="20"/>
          <w:szCs w:val="20"/>
        </w:rPr>
        <w:t>,</w:t>
      </w:r>
      <w:r w:rsidRPr="0033591B">
        <w:rPr>
          <w:rFonts w:ascii="Verdana" w:hAnsi="Verdana"/>
          <w:sz w:val="20"/>
          <w:szCs w:val="20"/>
        </w:rPr>
        <w:t xml:space="preserve"> ИА БСА не може да потвърди </w:t>
      </w:r>
      <w:r w:rsidR="0017056C" w:rsidRPr="0033591B">
        <w:rPr>
          <w:rFonts w:ascii="Verdana" w:hAnsi="Verdana"/>
          <w:sz w:val="20"/>
          <w:szCs w:val="20"/>
        </w:rPr>
        <w:t xml:space="preserve">съответствието на </w:t>
      </w:r>
      <w:r w:rsidR="0033591B" w:rsidRPr="0033591B">
        <w:rPr>
          <w:rFonts w:ascii="Verdana" w:hAnsi="Verdana"/>
          <w:sz w:val="20"/>
          <w:szCs w:val="20"/>
        </w:rPr>
        <w:t xml:space="preserve">медицинската лаборатория </w:t>
      </w:r>
      <w:r w:rsidR="00C03C52" w:rsidRPr="0033591B">
        <w:rPr>
          <w:rFonts w:ascii="Verdana" w:hAnsi="Verdana"/>
          <w:sz w:val="20"/>
          <w:szCs w:val="20"/>
        </w:rPr>
        <w:t xml:space="preserve">с изискванията на </w:t>
      </w:r>
      <w:r w:rsidR="0033591B" w:rsidRPr="0033591B">
        <w:rPr>
          <w:rFonts w:ascii="Verdana" w:hAnsi="Verdana"/>
          <w:sz w:val="20"/>
          <w:szCs w:val="20"/>
        </w:rPr>
        <w:t>ISO 15189:2022</w:t>
      </w:r>
      <w:r w:rsidR="0017056C" w:rsidRPr="0033591B">
        <w:rPr>
          <w:rFonts w:ascii="Verdana" w:hAnsi="Verdana"/>
          <w:sz w:val="20"/>
          <w:szCs w:val="20"/>
        </w:rPr>
        <w:t xml:space="preserve">, </w:t>
      </w:r>
      <w:r w:rsidR="00C90111" w:rsidRPr="0033591B">
        <w:rPr>
          <w:rFonts w:ascii="Verdana" w:hAnsi="Verdana"/>
          <w:sz w:val="20"/>
          <w:szCs w:val="20"/>
        </w:rPr>
        <w:t>агенцията ще констатира неизпълне</w:t>
      </w:r>
      <w:r w:rsidR="006B41CE" w:rsidRPr="0033591B">
        <w:rPr>
          <w:rFonts w:ascii="Verdana" w:hAnsi="Verdana"/>
          <w:sz w:val="20"/>
          <w:szCs w:val="20"/>
        </w:rPr>
        <w:t>ние на изискванията</w:t>
      </w:r>
      <w:r w:rsidR="001946B7" w:rsidRPr="0033591B">
        <w:rPr>
          <w:rFonts w:ascii="Verdana" w:hAnsi="Verdana"/>
          <w:sz w:val="20"/>
          <w:szCs w:val="20"/>
        </w:rPr>
        <w:t xml:space="preserve"> на </w:t>
      </w:r>
      <w:r w:rsidR="0033591B" w:rsidRPr="0033591B">
        <w:rPr>
          <w:rFonts w:ascii="Verdana" w:hAnsi="Verdana"/>
          <w:sz w:val="20"/>
          <w:szCs w:val="20"/>
        </w:rPr>
        <w:t>ISO 15189:2022</w:t>
      </w:r>
      <w:r w:rsidR="00F860C8" w:rsidRPr="0033591B">
        <w:rPr>
          <w:rFonts w:ascii="Verdana" w:hAnsi="Verdana"/>
          <w:bCs/>
          <w:sz w:val="20"/>
          <w:szCs w:val="20"/>
        </w:rPr>
        <w:t xml:space="preserve"> </w:t>
      </w:r>
      <w:r w:rsidR="006B41CE" w:rsidRPr="0033591B">
        <w:rPr>
          <w:rFonts w:ascii="Verdana" w:hAnsi="Verdana"/>
          <w:sz w:val="20"/>
          <w:szCs w:val="20"/>
        </w:rPr>
        <w:t xml:space="preserve">и след </w:t>
      </w:r>
      <w:r w:rsidR="0033591B" w:rsidRPr="0033591B">
        <w:rPr>
          <w:rFonts w:ascii="Verdana" w:hAnsi="Verdana"/>
          <w:sz w:val="20"/>
          <w:szCs w:val="20"/>
        </w:rPr>
        <w:t xml:space="preserve">06.12.2025 </w:t>
      </w:r>
      <w:r w:rsidR="00C90111" w:rsidRPr="0033591B">
        <w:rPr>
          <w:rFonts w:ascii="Verdana" w:hAnsi="Verdana"/>
          <w:sz w:val="20"/>
          <w:szCs w:val="20"/>
        </w:rPr>
        <w:t xml:space="preserve">г. ще отнеме предоставената по </w:t>
      </w:r>
      <w:r w:rsidR="0033591B" w:rsidRPr="0033591B">
        <w:rPr>
          <w:rFonts w:ascii="Verdana" w:hAnsi="Verdana"/>
          <w:sz w:val="20"/>
          <w:szCs w:val="20"/>
        </w:rPr>
        <w:t>ISO 15189:2012</w:t>
      </w:r>
      <w:r w:rsidR="00F2158B" w:rsidRPr="0033591B">
        <w:rPr>
          <w:rFonts w:ascii="Verdana" w:hAnsi="Verdana"/>
          <w:bCs/>
          <w:sz w:val="20"/>
          <w:szCs w:val="20"/>
        </w:rPr>
        <w:t xml:space="preserve"> </w:t>
      </w:r>
      <w:r w:rsidR="00C90111" w:rsidRPr="0033591B">
        <w:rPr>
          <w:rFonts w:ascii="Verdana" w:hAnsi="Verdana"/>
          <w:sz w:val="20"/>
          <w:szCs w:val="20"/>
        </w:rPr>
        <w:t xml:space="preserve">акредитация. </w:t>
      </w:r>
    </w:p>
    <w:p w14:paraId="2291DD9C" w14:textId="77777777" w:rsidR="00D85145" w:rsidRPr="0033591B" w:rsidRDefault="00D85145" w:rsidP="00481DC8">
      <w:pPr>
        <w:jc w:val="both"/>
        <w:rPr>
          <w:rFonts w:ascii="Verdana" w:hAnsi="Verdana"/>
          <w:sz w:val="20"/>
          <w:szCs w:val="20"/>
        </w:rPr>
      </w:pPr>
    </w:p>
    <w:p w14:paraId="50EF7BCB" w14:textId="77777777" w:rsidR="00BE084F" w:rsidRPr="0033591B" w:rsidRDefault="008503A9" w:rsidP="001D2FD0">
      <w:pPr>
        <w:numPr>
          <w:ilvl w:val="0"/>
          <w:numId w:val="13"/>
        </w:numPr>
        <w:jc w:val="both"/>
        <w:rPr>
          <w:rFonts w:ascii="Verdana" w:hAnsi="Verdana"/>
          <w:b/>
          <w:sz w:val="20"/>
          <w:szCs w:val="20"/>
        </w:rPr>
      </w:pPr>
      <w:r w:rsidRPr="0033591B">
        <w:rPr>
          <w:rFonts w:ascii="Verdana" w:hAnsi="Verdana"/>
          <w:b/>
          <w:sz w:val="20"/>
          <w:szCs w:val="20"/>
        </w:rPr>
        <w:t>Изготвяне и представяне план за преход</w:t>
      </w:r>
      <w:r w:rsidR="00555572" w:rsidRPr="0033591B">
        <w:rPr>
          <w:rFonts w:ascii="Verdana" w:hAnsi="Verdana"/>
          <w:b/>
          <w:sz w:val="20"/>
          <w:szCs w:val="20"/>
        </w:rPr>
        <w:t xml:space="preserve"> от акредитираните </w:t>
      </w:r>
      <w:r w:rsidR="00C03C52" w:rsidRPr="0033591B">
        <w:rPr>
          <w:rFonts w:ascii="Verdana" w:hAnsi="Verdana"/>
          <w:b/>
          <w:sz w:val="20"/>
          <w:szCs w:val="20"/>
        </w:rPr>
        <w:t>лаборатории за изпитване/калибриране</w:t>
      </w:r>
      <w:r w:rsidR="00555572" w:rsidRPr="0033591B">
        <w:rPr>
          <w:rFonts w:ascii="Verdana" w:hAnsi="Verdana"/>
          <w:b/>
          <w:sz w:val="20"/>
          <w:szCs w:val="20"/>
        </w:rPr>
        <w:t xml:space="preserve">. </w:t>
      </w:r>
    </w:p>
    <w:p w14:paraId="0E6CF796" w14:textId="77777777" w:rsidR="00C03C52" w:rsidRPr="0033591B" w:rsidRDefault="00C03C52" w:rsidP="00481DC8">
      <w:pPr>
        <w:jc w:val="both"/>
        <w:rPr>
          <w:rFonts w:ascii="Verdana" w:hAnsi="Verdana"/>
          <w:b/>
          <w:sz w:val="20"/>
          <w:szCs w:val="20"/>
        </w:rPr>
      </w:pPr>
    </w:p>
    <w:p w14:paraId="0562EAFF" w14:textId="77777777" w:rsidR="009775B1" w:rsidRPr="0033591B" w:rsidRDefault="00D048FE" w:rsidP="00481DC8">
      <w:pPr>
        <w:jc w:val="both"/>
        <w:rPr>
          <w:rFonts w:ascii="Verdana" w:hAnsi="Verdana"/>
          <w:b/>
          <w:sz w:val="20"/>
          <w:szCs w:val="20"/>
        </w:rPr>
      </w:pPr>
      <w:r w:rsidRPr="0033591B">
        <w:rPr>
          <w:rFonts w:ascii="Verdana" w:hAnsi="Verdana"/>
          <w:b/>
          <w:bCs/>
          <w:sz w:val="20"/>
          <w:szCs w:val="20"/>
        </w:rPr>
        <w:t xml:space="preserve">Акредитираните съгласно изискванията на </w:t>
      </w:r>
      <w:r w:rsidR="0033591B" w:rsidRPr="0033591B">
        <w:rPr>
          <w:rFonts w:ascii="Verdana" w:hAnsi="Verdana"/>
          <w:b/>
          <w:bCs/>
          <w:sz w:val="20"/>
          <w:szCs w:val="20"/>
        </w:rPr>
        <w:t>ISO 15189:2012</w:t>
      </w:r>
      <w:r w:rsidRPr="0033591B">
        <w:rPr>
          <w:rFonts w:ascii="Verdana" w:hAnsi="Verdana"/>
          <w:b/>
          <w:bCs/>
          <w:sz w:val="20"/>
          <w:szCs w:val="20"/>
        </w:rPr>
        <w:t xml:space="preserve"> </w:t>
      </w:r>
      <w:r w:rsidR="0033591B" w:rsidRPr="0033591B">
        <w:rPr>
          <w:rFonts w:ascii="Verdana" w:hAnsi="Verdana"/>
          <w:b/>
          <w:sz w:val="20"/>
          <w:szCs w:val="20"/>
        </w:rPr>
        <w:t>Медицински л</w:t>
      </w:r>
      <w:r w:rsidR="00C03C52" w:rsidRPr="0033591B">
        <w:rPr>
          <w:rFonts w:ascii="Verdana" w:hAnsi="Verdana"/>
          <w:b/>
          <w:sz w:val="20"/>
          <w:szCs w:val="20"/>
        </w:rPr>
        <w:t xml:space="preserve">аборатории </w:t>
      </w:r>
      <w:r w:rsidR="0064127A" w:rsidRPr="0033591B">
        <w:rPr>
          <w:rFonts w:ascii="Verdana" w:hAnsi="Verdana"/>
          <w:b/>
          <w:sz w:val="20"/>
          <w:szCs w:val="20"/>
        </w:rPr>
        <w:t>следва да:</w:t>
      </w:r>
    </w:p>
    <w:p w14:paraId="3EDDE046" w14:textId="77777777" w:rsidR="00C03C52" w:rsidRPr="00073110" w:rsidRDefault="00C03C52" w:rsidP="00481DC8">
      <w:pPr>
        <w:jc w:val="both"/>
        <w:rPr>
          <w:rFonts w:ascii="Verdana" w:hAnsi="Verdana"/>
          <w:b/>
          <w:color w:val="FF0000"/>
          <w:sz w:val="20"/>
          <w:szCs w:val="20"/>
        </w:rPr>
      </w:pPr>
    </w:p>
    <w:p w14:paraId="60F1BAA4" w14:textId="77777777" w:rsidR="001D2FD0" w:rsidRPr="0033591B" w:rsidRDefault="0064127A" w:rsidP="001D2FD0">
      <w:pPr>
        <w:numPr>
          <w:ilvl w:val="1"/>
          <w:numId w:val="7"/>
        </w:numPr>
        <w:ind w:left="0" w:firstLine="0"/>
        <w:jc w:val="both"/>
        <w:rPr>
          <w:rFonts w:ascii="Verdana" w:hAnsi="Verdana"/>
          <w:sz w:val="20"/>
          <w:szCs w:val="20"/>
          <w:lang w:val="ru-RU"/>
        </w:rPr>
      </w:pPr>
      <w:r w:rsidRPr="0033591B">
        <w:rPr>
          <w:rFonts w:ascii="Verdana" w:hAnsi="Verdana"/>
          <w:sz w:val="20"/>
          <w:szCs w:val="20"/>
        </w:rPr>
        <w:t>И</w:t>
      </w:r>
      <w:r w:rsidR="00AD0319" w:rsidRPr="0033591B">
        <w:rPr>
          <w:rFonts w:ascii="Verdana" w:hAnsi="Verdana"/>
          <w:sz w:val="20"/>
          <w:szCs w:val="20"/>
        </w:rPr>
        <w:t>звърш</w:t>
      </w:r>
      <w:r w:rsidRPr="0033591B">
        <w:rPr>
          <w:rFonts w:ascii="Verdana" w:hAnsi="Verdana"/>
          <w:sz w:val="20"/>
          <w:szCs w:val="20"/>
        </w:rPr>
        <w:t>ат</w:t>
      </w:r>
      <w:r w:rsidR="00AD0319" w:rsidRPr="0033591B">
        <w:rPr>
          <w:rFonts w:ascii="Verdana" w:hAnsi="Verdana"/>
          <w:sz w:val="20"/>
          <w:szCs w:val="20"/>
        </w:rPr>
        <w:t xml:space="preserve"> </w:t>
      </w:r>
      <w:r w:rsidR="00BE084F" w:rsidRPr="0033591B">
        <w:rPr>
          <w:rFonts w:ascii="Verdana" w:hAnsi="Verdana"/>
          <w:sz w:val="20"/>
          <w:szCs w:val="20"/>
        </w:rPr>
        <w:t xml:space="preserve">анализ на промените </w:t>
      </w:r>
      <w:r w:rsidR="00C03C52" w:rsidRPr="0033591B">
        <w:rPr>
          <w:rFonts w:ascii="Verdana" w:hAnsi="Verdana"/>
          <w:sz w:val="20"/>
          <w:szCs w:val="20"/>
        </w:rPr>
        <w:t xml:space="preserve">в </w:t>
      </w:r>
      <w:r w:rsidR="0033591B" w:rsidRPr="0033591B">
        <w:rPr>
          <w:rFonts w:ascii="Verdana" w:hAnsi="Verdana"/>
          <w:sz w:val="20"/>
          <w:szCs w:val="20"/>
        </w:rPr>
        <w:t>ISO 15189:2022</w:t>
      </w:r>
      <w:r w:rsidR="00F860C8" w:rsidRPr="0033591B">
        <w:rPr>
          <w:rFonts w:ascii="Verdana" w:hAnsi="Verdana"/>
          <w:bCs/>
          <w:sz w:val="20"/>
          <w:szCs w:val="20"/>
        </w:rPr>
        <w:t xml:space="preserve"> </w:t>
      </w:r>
      <w:r w:rsidR="007A5AD2" w:rsidRPr="0033591B">
        <w:rPr>
          <w:rFonts w:ascii="Verdana" w:hAnsi="Verdana"/>
          <w:sz w:val="20"/>
          <w:szCs w:val="20"/>
        </w:rPr>
        <w:t xml:space="preserve">и да определят новите изисквания, които ще </w:t>
      </w:r>
      <w:r w:rsidR="00F2158B" w:rsidRPr="0033591B">
        <w:rPr>
          <w:rFonts w:ascii="Verdana" w:hAnsi="Verdana"/>
          <w:sz w:val="20"/>
          <w:szCs w:val="20"/>
        </w:rPr>
        <w:t xml:space="preserve">доведат до </w:t>
      </w:r>
      <w:r w:rsidR="007A5AD2" w:rsidRPr="0033591B">
        <w:rPr>
          <w:rFonts w:ascii="Verdana" w:hAnsi="Verdana"/>
          <w:sz w:val="20"/>
          <w:szCs w:val="20"/>
        </w:rPr>
        <w:t xml:space="preserve">промени в </w:t>
      </w:r>
      <w:r w:rsidR="00C03C52" w:rsidRPr="0033591B">
        <w:rPr>
          <w:rFonts w:ascii="Verdana" w:hAnsi="Verdana"/>
          <w:sz w:val="20"/>
          <w:szCs w:val="20"/>
        </w:rPr>
        <w:t>системата за управление</w:t>
      </w:r>
      <w:r w:rsidR="001D2FD0" w:rsidRPr="0033591B">
        <w:rPr>
          <w:rFonts w:ascii="Verdana" w:hAnsi="Verdana"/>
          <w:sz w:val="20"/>
          <w:szCs w:val="20"/>
        </w:rPr>
        <w:t>.</w:t>
      </w:r>
    </w:p>
    <w:p w14:paraId="3491FDEB" w14:textId="77777777" w:rsidR="001D2FD0" w:rsidRPr="0033591B" w:rsidRDefault="001D2FD0" w:rsidP="001D2FD0">
      <w:pPr>
        <w:jc w:val="both"/>
        <w:rPr>
          <w:rFonts w:ascii="Verdana" w:hAnsi="Verdana"/>
          <w:sz w:val="20"/>
          <w:szCs w:val="20"/>
          <w:lang w:val="ru-RU"/>
        </w:rPr>
      </w:pPr>
    </w:p>
    <w:p w14:paraId="5FC70021" w14:textId="77777777" w:rsidR="00865F1E" w:rsidRPr="00893DA4" w:rsidRDefault="0064127A" w:rsidP="001D2FD0">
      <w:pPr>
        <w:numPr>
          <w:ilvl w:val="1"/>
          <w:numId w:val="7"/>
        </w:numPr>
        <w:ind w:left="0" w:firstLine="0"/>
        <w:jc w:val="both"/>
        <w:rPr>
          <w:rFonts w:ascii="Verdana" w:hAnsi="Verdana"/>
          <w:sz w:val="20"/>
          <w:szCs w:val="20"/>
          <w:lang w:val="ru-RU"/>
        </w:rPr>
      </w:pPr>
      <w:r w:rsidRPr="0033591B">
        <w:rPr>
          <w:rFonts w:ascii="Verdana" w:hAnsi="Verdana"/>
          <w:sz w:val="20"/>
          <w:szCs w:val="20"/>
          <w:lang w:val="ru-RU"/>
        </w:rPr>
        <w:t>Р</w:t>
      </w:r>
      <w:r w:rsidR="00015420" w:rsidRPr="0033591B">
        <w:rPr>
          <w:rFonts w:ascii="Verdana" w:hAnsi="Verdana"/>
          <w:sz w:val="20"/>
          <w:szCs w:val="20"/>
          <w:lang w:val="ru-RU"/>
        </w:rPr>
        <w:t>азраб</w:t>
      </w:r>
      <w:r w:rsidR="00D327DC" w:rsidRPr="0033591B">
        <w:rPr>
          <w:rFonts w:ascii="Verdana" w:hAnsi="Verdana"/>
          <w:sz w:val="20"/>
          <w:szCs w:val="20"/>
          <w:lang w:val="ru-RU"/>
        </w:rPr>
        <w:t>о</w:t>
      </w:r>
      <w:r w:rsidR="00015420" w:rsidRPr="0033591B">
        <w:rPr>
          <w:rFonts w:ascii="Verdana" w:hAnsi="Verdana"/>
          <w:sz w:val="20"/>
          <w:szCs w:val="20"/>
          <w:lang w:val="ru-RU"/>
        </w:rPr>
        <w:t xml:space="preserve">тят и представят в ИА БСА </w:t>
      </w:r>
      <w:r w:rsidR="00C03C52" w:rsidRPr="0033591B">
        <w:rPr>
          <w:rFonts w:ascii="Verdana" w:hAnsi="Verdana"/>
          <w:sz w:val="20"/>
          <w:szCs w:val="20"/>
        </w:rPr>
        <w:t>прехода от акредитация съгласно</w:t>
      </w:r>
      <w:r w:rsidR="00C03C52" w:rsidRPr="0033591B">
        <w:rPr>
          <w:rFonts w:ascii="Verdana" w:hAnsi="Verdana"/>
          <w:b/>
          <w:sz w:val="20"/>
          <w:szCs w:val="20"/>
        </w:rPr>
        <w:t xml:space="preserve"> </w:t>
      </w:r>
      <w:r w:rsidR="00D91F20" w:rsidRPr="0033591B">
        <w:rPr>
          <w:rFonts w:ascii="Verdana" w:hAnsi="Verdana"/>
          <w:bCs/>
          <w:sz w:val="20"/>
          <w:szCs w:val="20"/>
        </w:rPr>
        <w:t>изискванията на</w:t>
      </w:r>
      <w:r w:rsidR="00D91F20" w:rsidRPr="0033591B">
        <w:rPr>
          <w:rFonts w:ascii="Verdana" w:hAnsi="Verdana"/>
          <w:b/>
          <w:bCs/>
          <w:sz w:val="20"/>
          <w:szCs w:val="20"/>
        </w:rPr>
        <w:t xml:space="preserve"> </w:t>
      </w:r>
      <w:r w:rsidR="0033591B" w:rsidRPr="0033591B">
        <w:rPr>
          <w:rFonts w:ascii="Verdana" w:hAnsi="Verdana"/>
          <w:bCs/>
          <w:sz w:val="20"/>
          <w:szCs w:val="20"/>
        </w:rPr>
        <w:t>ISO 15189:2012</w:t>
      </w:r>
      <w:r w:rsidR="00C03C52" w:rsidRPr="0033591B">
        <w:rPr>
          <w:rStyle w:val="Strong"/>
          <w:rFonts w:ascii="Verdana" w:hAnsi="Verdana"/>
          <w:sz w:val="20"/>
          <w:szCs w:val="20"/>
        </w:rPr>
        <w:t xml:space="preserve"> </w:t>
      </w:r>
      <w:r w:rsidR="00C03C52" w:rsidRPr="0033591B">
        <w:rPr>
          <w:rStyle w:val="Strong"/>
          <w:rFonts w:ascii="Verdana" w:hAnsi="Verdana"/>
          <w:b w:val="0"/>
          <w:sz w:val="20"/>
          <w:szCs w:val="20"/>
        </w:rPr>
        <w:t xml:space="preserve">към </w:t>
      </w:r>
      <w:r w:rsidR="00C03C52" w:rsidRPr="00893DA4">
        <w:rPr>
          <w:rStyle w:val="Strong"/>
          <w:rFonts w:ascii="Verdana" w:hAnsi="Verdana"/>
          <w:b w:val="0"/>
          <w:sz w:val="20"/>
          <w:szCs w:val="20"/>
        </w:rPr>
        <w:t>акредитация съгласно</w:t>
      </w:r>
      <w:r w:rsidR="00C03C52" w:rsidRPr="00893DA4">
        <w:rPr>
          <w:rStyle w:val="Strong"/>
          <w:rFonts w:ascii="Verdana" w:hAnsi="Verdana"/>
          <w:sz w:val="20"/>
          <w:szCs w:val="20"/>
        </w:rPr>
        <w:t xml:space="preserve"> </w:t>
      </w:r>
      <w:r w:rsidR="00D91F20" w:rsidRPr="00893DA4">
        <w:rPr>
          <w:rFonts w:ascii="Verdana" w:hAnsi="Verdana"/>
          <w:bCs/>
          <w:sz w:val="20"/>
          <w:szCs w:val="20"/>
        </w:rPr>
        <w:t xml:space="preserve">изискванията на </w:t>
      </w:r>
      <w:r w:rsidR="0033591B" w:rsidRPr="00893DA4">
        <w:rPr>
          <w:rFonts w:ascii="Verdana" w:hAnsi="Verdana"/>
          <w:sz w:val="20"/>
          <w:szCs w:val="20"/>
        </w:rPr>
        <w:t>ISO 15189:2022</w:t>
      </w:r>
      <w:r w:rsidR="00015420" w:rsidRPr="00893DA4">
        <w:rPr>
          <w:rFonts w:ascii="Verdana" w:hAnsi="Verdana"/>
          <w:sz w:val="20"/>
          <w:szCs w:val="20"/>
          <w:lang w:val="ru-RU"/>
        </w:rPr>
        <w:t>, чрез ко</w:t>
      </w:r>
      <w:r w:rsidRPr="00893DA4">
        <w:rPr>
          <w:rFonts w:ascii="Verdana" w:hAnsi="Verdana"/>
          <w:sz w:val="20"/>
          <w:szCs w:val="20"/>
          <w:lang w:val="ru-RU"/>
        </w:rPr>
        <w:t>й</w:t>
      </w:r>
      <w:r w:rsidR="00015420" w:rsidRPr="00893DA4">
        <w:rPr>
          <w:rFonts w:ascii="Verdana" w:hAnsi="Verdana"/>
          <w:sz w:val="20"/>
          <w:szCs w:val="20"/>
          <w:lang w:val="ru-RU"/>
        </w:rPr>
        <w:t>то да покажат</w:t>
      </w:r>
      <w:r w:rsidR="00865F1E" w:rsidRPr="00893DA4">
        <w:rPr>
          <w:rFonts w:ascii="Verdana" w:hAnsi="Verdana"/>
          <w:sz w:val="20"/>
          <w:szCs w:val="20"/>
          <w:lang w:val="ru-RU"/>
        </w:rPr>
        <w:t>:</w:t>
      </w:r>
    </w:p>
    <w:p w14:paraId="705CD112" w14:textId="77777777" w:rsidR="0021296E" w:rsidRPr="00893DA4" w:rsidRDefault="0021296E" w:rsidP="0021296E">
      <w:pPr>
        <w:jc w:val="both"/>
        <w:rPr>
          <w:rFonts w:ascii="Verdana" w:hAnsi="Verdana"/>
          <w:sz w:val="16"/>
          <w:szCs w:val="16"/>
          <w:lang w:val="ru-RU"/>
        </w:rPr>
      </w:pPr>
    </w:p>
    <w:p w14:paraId="33CD8CA3" w14:textId="77777777" w:rsidR="00D327DC" w:rsidRPr="00893DA4" w:rsidRDefault="00865F1E" w:rsidP="0064127A">
      <w:pPr>
        <w:ind w:left="709"/>
        <w:jc w:val="both"/>
        <w:rPr>
          <w:rFonts w:ascii="Verdana" w:hAnsi="Verdana"/>
          <w:sz w:val="20"/>
          <w:szCs w:val="20"/>
          <w:lang w:val="ru-RU"/>
        </w:rPr>
      </w:pPr>
      <w:r w:rsidRPr="00893DA4">
        <w:rPr>
          <w:rFonts w:ascii="Verdana" w:hAnsi="Verdana"/>
          <w:sz w:val="20"/>
          <w:szCs w:val="20"/>
          <w:lang w:val="ru-RU"/>
        </w:rPr>
        <w:t>-</w:t>
      </w:r>
      <w:r w:rsidR="00015420" w:rsidRPr="00893DA4">
        <w:rPr>
          <w:rFonts w:ascii="Verdana" w:hAnsi="Verdana"/>
          <w:sz w:val="20"/>
          <w:szCs w:val="20"/>
          <w:lang w:val="ru-RU"/>
        </w:rPr>
        <w:t xml:space="preserve"> че са анализирали нов</w:t>
      </w:r>
      <w:r w:rsidRPr="00893DA4">
        <w:rPr>
          <w:rFonts w:ascii="Verdana" w:hAnsi="Verdana"/>
          <w:sz w:val="20"/>
          <w:szCs w:val="20"/>
          <w:lang w:val="ru-RU"/>
        </w:rPr>
        <w:t>ата версия на</w:t>
      </w:r>
      <w:r w:rsidR="00015420" w:rsidRPr="00893DA4">
        <w:rPr>
          <w:rFonts w:ascii="Verdana" w:hAnsi="Verdana"/>
          <w:sz w:val="20"/>
          <w:szCs w:val="20"/>
          <w:lang w:val="ru-RU"/>
        </w:rPr>
        <w:t xml:space="preserve"> стандарт</w:t>
      </w:r>
      <w:r w:rsidRPr="00893DA4">
        <w:rPr>
          <w:rFonts w:ascii="Verdana" w:hAnsi="Verdana"/>
          <w:sz w:val="20"/>
          <w:szCs w:val="20"/>
          <w:lang w:val="ru-RU"/>
        </w:rPr>
        <w:t>а и са установили влияни</w:t>
      </w:r>
      <w:r w:rsidR="00015420" w:rsidRPr="00893DA4">
        <w:rPr>
          <w:rFonts w:ascii="Verdana" w:hAnsi="Verdana"/>
          <w:sz w:val="20"/>
          <w:szCs w:val="20"/>
          <w:lang w:val="ru-RU"/>
        </w:rPr>
        <w:t xml:space="preserve">ето на промените върху тяхната </w:t>
      </w:r>
      <w:r w:rsidR="00D327DC" w:rsidRPr="00893DA4">
        <w:rPr>
          <w:rFonts w:ascii="Verdana" w:hAnsi="Verdana"/>
          <w:sz w:val="20"/>
          <w:szCs w:val="20"/>
          <w:lang w:val="ru-RU"/>
        </w:rPr>
        <w:t xml:space="preserve">документирана </w:t>
      </w:r>
      <w:r w:rsidR="00015420" w:rsidRPr="00893DA4">
        <w:rPr>
          <w:rFonts w:ascii="Verdana" w:hAnsi="Verdana"/>
          <w:sz w:val="20"/>
          <w:szCs w:val="20"/>
          <w:lang w:val="ru-RU"/>
        </w:rPr>
        <w:t xml:space="preserve">система </w:t>
      </w:r>
      <w:r w:rsidR="00015420" w:rsidRPr="00893DA4">
        <w:rPr>
          <w:rFonts w:ascii="Verdana" w:hAnsi="Verdana"/>
          <w:sz w:val="20"/>
          <w:szCs w:val="20"/>
        </w:rPr>
        <w:t>за управление</w:t>
      </w:r>
      <w:r w:rsidR="00015420" w:rsidRPr="00893DA4">
        <w:rPr>
          <w:rFonts w:ascii="Verdana" w:hAnsi="Verdana"/>
          <w:sz w:val="20"/>
          <w:szCs w:val="20"/>
          <w:lang w:val="ru-RU"/>
        </w:rPr>
        <w:t>,</w:t>
      </w:r>
      <w:r w:rsidR="007A5AD2" w:rsidRPr="00893DA4">
        <w:rPr>
          <w:rFonts w:ascii="Verdana" w:hAnsi="Verdana"/>
          <w:sz w:val="20"/>
          <w:szCs w:val="20"/>
          <w:lang w:val="ru-RU"/>
        </w:rPr>
        <w:t xml:space="preserve"> </w:t>
      </w:r>
      <w:r w:rsidR="007A5AD2" w:rsidRPr="00893DA4">
        <w:rPr>
          <w:rFonts w:ascii="Verdana" w:hAnsi="Verdana"/>
          <w:sz w:val="20"/>
          <w:szCs w:val="20"/>
        </w:rPr>
        <w:t xml:space="preserve">структурата на </w:t>
      </w:r>
      <w:r w:rsidR="0021296E" w:rsidRPr="00893DA4">
        <w:rPr>
          <w:rFonts w:ascii="Verdana" w:hAnsi="Verdana"/>
          <w:sz w:val="20"/>
          <w:szCs w:val="20"/>
        </w:rPr>
        <w:t>лабораторията и др</w:t>
      </w:r>
      <w:r w:rsidR="007A5AD2" w:rsidRPr="00893DA4">
        <w:rPr>
          <w:rFonts w:ascii="Verdana" w:hAnsi="Verdana"/>
          <w:sz w:val="20"/>
          <w:szCs w:val="20"/>
        </w:rPr>
        <w:t>.</w:t>
      </w:r>
      <w:r w:rsidR="0021296E" w:rsidRPr="00893DA4">
        <w:rPr>
          <w:rFonts w:ascii="Verdana" w:hAnsi="Verdana"/>
          <w:sz w:val="20"/>
          <w:szCs w:val="20"/>
          <w:lang w:val="en-US"/>
        </w:rPr>
        <w:t>;</w:t>
      </w:r>
      <w:r w:rsidR="00015420" w:rsidRPr="00893DA4">
        <w:rPr>
          <w:rFonts w:ascii="Verdana" w:hAnsi="Verdana"/>
          <w:sz w:val="20"/>
          <w:szCs w:val="20"/>
          <w:lang w:val="ru-RU"/>
        </w:rPr>
        <w:t xml:space="preserve"> </w:t>
      </w:r>
    </w:p>
    <w:p w14:paraId="6F990EAC" w14:textId="77777777" w:rsidR="00865F1E" w:rsidRPr="00893DA4" w:rsidRDefault="00D327DC" w:rsidP="0064127A">
      <w:pPr>
        <w:ind w:left="709"/>
        <w:jc w:val="both"/>
        <w:rPr>
          <w:rFonts w:ascii="Verdana" w:hAnsi="Verdana"/>
          <w:sz w:val="20"/>
          <w:szCs w:val="20"/>
          <w:lang w:val="ru-RU"/>
        </w:rPr>
      </w:pPr>
      <w:r w:rsidRPr="00893DA4">
        <w:rPr>
          <w:rFonts w:ascii="Verdana" w:hAnsi="Verdana"/>
          <w:sz w:val="20"/>
          <w:szCs w:val="20"/>
          <w:lang w:val="ru-RU"/>
        </w:rPr>
        <w:t xml:space="preserve">- </w:t>
      </w:r>
      <w:r w:rsidR="0064127A" w:rsidRPr="00893DA4">
        <w:rPr>
          <w:rFonts w:ascii="Verdana" w:hAnsi="Verdana"/>
          <w:sz w:val="20"/>
          <w:szCs w:val="20"/>
        </w:rPr>
        <w:t xml:space="preserve">са </w:t>
      </w:r>
      <w:r w:rsidRPr="00893DA4">
        <w:rPr>
          <w:rFonts w:ascii="Verdana" w:hAnsi="Verdana"/>
          <w:sz w:val="20"/>
          <w:szCs w:val="20"/>
        </w:rPr>
        <w:t>определ</w:t>
      </w:r>
      <w:r w:rsidR="0064127A" w:rsidRPr="00893DA4">
        <w:rPr>
          <w:rFonts w:ascii="Verdana" w:hAnsi="Verdana"/>
          <w:sz w:val="20"/>
          <w:szCs w:val="20"/>
        </w:rPr>
        <w:t xml:space="preserve">или </w:t>
      </w:r>
      <w:r w:rsidRPr="00893DA4">
        <w:rPr>
          <w:rFonts w:ascii="Verdana" w:hAnsi="Verdana"/>
          <w:sz w:val="20"/>
          <w:szCs w:val="20"/>
        </w:rPr>
        <w:t>изискванията относно компетентността на персонала</w:t>
      </w:r>
      <w:r w:rsidR="007A5AD2" w:rsidRPr="00893DA4">
        <w:rPr>
          <w:rFonts w:ascii="Verdana" w:hAnsi="Verdana"/>
          <w:sz w:val="20"/>
          <w:szCs w:val="20"/>
        </w:rPr>
        <w:t xml:space="preserve">, планирали са обучение </w:t>
      </w:r>
      <w:r w:rsidRPr="00893DA4">
        <w:rPr>
          <w:rFonts w:ascii="Verdana" w:hAnsi="Verdana"/>
          <w:sz w:val="20"/>
          <w:szCs w:val="20"/>
        </w:rPr>
        <w:t>и преоценка на персонала;</w:t>
      </w:r>
    </w:p>
    <w:p w14:paraId="5DD4C4EF" w14:textId="77777777" w:rsidR="00D327DC" w:rsidRPr="00893DA4" w:rsidRDefault="00865F1E" w:rsidP="0064127A">
      <w:pPr>
        <w:ind w:left="709"/>
        <w:jc w:val="both"/>
        <w:rPr>
          <w:rFonts w:ascii="Verdana" w:hAnsi="Verdana"/>
          <w:sz w:val="20"/>
          <w:szCs w:val="20"/>
        </w:rPr>
      </w:pPr>
      <w:r w:rsidRPr="00893DA4">
        <w:rPr>
          <w:rFonts w:ascii="Verdana" w:hAnsi="Verdana"/>
          <w:sz w:val="20"/>
          <w:szCs w:val="20"/>
          <w:lang w:val="ru-RU"/>
        </w:rPr>
        <w:t xml:space="preserve">- </w:t>
      </w:r>
      <w:r w:rsidR="0064127A" w:rsidRPr="00893DA4">
        <w:rPr>
          <w:rFonts w:ascii="Verdana" w:hAnsi="Verdana"/>
          <w:sz w:val="20"/>
          <w:szCs w:val="20"/>
        </w:rPr>
        <w:t xml:space="preserve">са определили </w:t>
      </w:r>
      <w:r w:rsidR="00015420" w:rsidRPr="00893DA4">
        <w:rPr>
          <w:rFonts w:ascii="Verdana" w:hAnsi="Verdana"/>
          <w:sz w:val="20"/>
          <w:szCs w:val="20"/>
          <w:lang w:val="ru-RU"/>
        </w:rPr>
        <w:t xml:space="preserve">действията, които трябва да планират и предприемат </w:t>
      </w:r>
      <w:r w:rsidR="0064127A" w:rsidRPr="00893DA4">
        <w:rPr>
          <w:rFonts w:ascii="Verdana" w:hAnsi="Verdana"/>
          <w:sz w:val="20"/>
          <w:szCs w:val="20"/>
          <w:lang w:val="ru-RU"/>
        </w:rPr>
        <w:t xml:space="preserve">за </w:t>
      </w:r>
      <w:r w:rsidR="00D327DC" w:rsidRPr="00893DA4">
        <w:rPr>
          <w:rFonts w:ascii="Verdana" w:hAnsi="Verdana"/>
          <w:sz w:val="20"/>
          <w:szCs w:val="20"/>
          <w:lang w:val="ru-RU"/>
        </w:rPr>
        <w:t xml:space="preserve">оценка на </w:t>
      </w:r>
      <w:r w:rsidR="00015420" w:rsidRPr="00893DA4">
        <w:rPr>
          <w:rFonts w:ascii="Verdana" w:hAnsi="Verdana"/>
          <w:sz w:val="20"/>
          <w:szCs w:val="20"/>
          <w:lang w:val="ru-RU"/>
        </w:rPr>
        <w:t>ефективно</w:t>
      </w:r>
      <w:r w:rsidR="0064127A" w:rsidRPr="00893DA4">
        <w:rPr>
          <w:rFonts w:ascii="Verdana" w:hAnsi="Verdana"/>
          <w:sz w:val="20"/>
          <w:szCs w:val="20"/>
          <w:lang w:val="ru-RU"/>
        </w:rPr>
        <w:t>то</w:t>
      </w:r>
      <w:r w:rsidR="00015420" w:rsidRPr="00893DA4">
        <w:rPr>
          <w:rFonts w:ascii="Verdana" w:hAnsi="Verdana"/>
          <w:sz w:val="20"/>
          <w:szCs w:val="20"/>
          <w:lang w:val="ru-RU"/>
        </w:rPr>
        <w:t xml:space="preserve"> прилагане на всички промени, така че да съответст</w:t>
      </w:r>
      <w:r w:rsidRPr="00893DA4">
        <w:rPr>
          <w:rFonts w:ascii="Verdana" w:hAnsi="Verdana"/>
          <w:sz w:val="20"/>
          <w:szCs w:val="20"/>
          <w:lang w:val="ru-RU"/>
        </w:rPr>
        <w:t>ват на изискванията на стандарт</w:t>
      </w:r>
      <w:r w:rsidRPr="00893DA4">
        <w:rPr>
          <w:rFonts w:ascii="Verdana" w:hAnsi="Verdana"/>
          <w:sz w:val="20"/>
          <w:szCs w:val="20"/>
        </w:rPr>
        <w:t>а</w:t>
      </w:r>
      <w:r w:rsidR="00D327DC" w:rsidRPr="00893DA4">
        <w:rPr>
          <w:rFonts w:ascii="Verdana" w:hAnsi="Verdana"/>
          <w:sz w:val="20"/>
          <w:szCs w:val="20"/>
        </w:rPr>
        <w:t xml:space="preserve"> (провеждане на вътрешни одити,</w:t>
      </w:r>
      <w:r w:rsidR="0033591B" w:rsidRPr="00893DA4">
        <w:rPr>
          <w:rFonts w:ascii="Verdana" w:hAnsi="Verdana"/>
          <w:sz w:val="20"/>
          <w:szCs w:val="20"/>
        </w:rPr>
        <w:t xml:space="preserve"> преглед от ръководството и др.</w:t>
      </w:r>
      <w:r w:rsidR="00D327DC" w:rsidRPr="00893DA4">
        <w:rPr>
          <w:rFonts w:ascii="Verdana" w:hAnsi="Verdana"/>
          <w:sz w:val="20"/>
          <w:szCs w:val="20"/>
        </w:rPr>
        <w:t>)</w:t>
      </w:r>
    </w:p>
    <w:p w14:paraId="4693E6C1" w14:textId="77777777" w:rsidR="0021296E" w:rsidRPr="00893DA4" w:rsidRDefault="0021296E" w:rsidP="0064127A">
      <w:pPr>
        <w:ind w:left="709"/>
        <w:jc w:val="both"/>
        <w:rPr>
          <w:rFonts w:ascii="Verdana" w:hAnsi="Verdana"/>
          <w:sz w:val="16"/>
          <w:szCs w:val="16"/>
        </w:rPr>
      </w:pPr>
    </w:p>
    <w:p w14:paraId="33086377" w14:textId="77777777" w:rsidR="00AD0319" w:rsidRPr="00893DA4" w:rsidRDefault="00C51DA2" w:rsidP="00481DC8">
      <w:pPr>
        <w:jc w:val="both"/>
        <w:rPr>
          <w:rFonts w:ascii="Verdana" w:hAnsi="Verdana"/>
          <w:sz w:val="20"/>
          <w:szCs w:val="20"/>
          <w:lang w:val="ru-RU"/>
        </w:rPr>
      </w:pPr>
      <w:r w:rsidRPr="00893DA4">
        <w:rPr>
          <w:rFonts w:ascii="Verdana" w:hAnsi="Verdana"/>
          <w:sz w:val="20"/>
          <w:szCs w:val="20"/>
          <w:lang w:val="ru-RU"/>
        </w:rPr>
        <w:t>План</w:t>
      </w:r>
      <w:r w:rsidR="0064127A" w:rsidRPr="00893DA4">
        <w:rPr>
          <w:rFonts w:ascii="Verdana" w:hAnsi="Verdana"/>
          <w:sz w:val="20"/>
          <w:szCs w:val="20"/>
          <w:lang w:val="ru-RU"/>
        </w:rPr>
        <w:t>ът</w:t>
      </w:r>
      <w:r w:rsidR="00015420" w:rsidRPr="00893DA4">
        <w:rPr>
          <w:rFonts w:ascii="Verdana" w:hAnsi="Verdana"/>
          <w:sz w:val="20"/>
          <w:szCs w:val="20"/>
          <w:lang w:val="ru-RU"/>
        </w:rPr>
        <w:t xml:space="preserve"> за </w:t>
      </w:r>
      <w:r w:rsidR="00A60F76" w:rsidRPr="00893DA4">
        <w:rPr>
          <w:rFonts w:ascii="Verdana" w:hAnsi="Verdana"/>
          <w:sz w:val="20"/>
          <w:szCs w:val="20"/>
          <w:lang w:val="ru-RU"/>
        </w:rPr>
        <w:t>действи</w:t>
      </w:r>
      <w:r w:rsidR="0064127A" w:rsidRPr="00893DA4">
        <w:rPr>
          <w:rFonts w:ascii="Verdana" w:hAnsi="Verdana"/>
          <w:sz w:val="20"/>
          <w:szCs w:val="20"/>
          <w:lang w:val="ru-RU"/>
        </w:rPr>
        <w:t>я</w:t>
      </w:r>
      <w:r w:rsidR="00A60F76" w:rsidRPr="00893DA4">
        <w:rPr>
          <w:rFonts w:ascii="Verdana" w:hAnsi="Verdana"/>
          <w:sz w:val="20"/>
          <w:szCs w:val="20"/>
          <w:lang w:val="ru-RU"/>
        </w:rPr>
        <w:t xml:space="preserve"> за </w:t>
      </w:r>
      <w:r w:rsidR="0021296E" w:rsidRPr="00893DA4">
        <w:rPr>
          <w:rFonts w:ascii="Verdana" w:hAnsi="Verdana"/>
          <w:sz w:val="20"/>
          <w:szCs w:val="20"/>
        </w:rPr>
        <w:t>прехода от акредитация съгласно</w:t>
      </w:r>
      <w:r w:rsidR="0021296E" w:rsidRPr="00893DA4">
        <w:rPr>
          <w:rFonts w:ascii="Verdana" w:hAnsi="Verdana"/>
          <w:b/>
          <w:sz w:val="20"/>
          <w:szCs w:val="20"/>
        </w:rPr>
        <w:t xml:space="preserve"> </w:t>
      </w:r>
      <w:r w:rsidR="009336CF" w:rsidRPr="00893DA4">
        <w:rPr>
          <w:rFonts w:ascii="Verdana" w:hAnsi="Verdana"/>
          <w:sz w:val="20"/>
          <w:szCs w:val="20"/>
        </w:rPr>
        <w:t xml:space="preserve">изискванията на </w:t>
      </w:r>
      <w:r w:rsidR="00893DA4" w:rsidRPr="00893DA4">
        <w:rPr>
          <w:rFonts w:ascii="Verdana" w:hAnsi="Verdana"/>
          <w:bCs/>
          <w:sz w:val="20"/>
          <w:szCs w:val="20"/>
        </w:rPr>
        <w:t>ISO 15189:2012</w:t>
      </w:r>
      <w:r w:rsidR="0021296E" w:rsidRPr="00893DA4">
        <w:rPr>
          <w:rStyle w:val="Strong"/>
          <w:rFonts w:ascii="Verdana" w:hAnsi="Verdana"/>
          <w:b w:val="0"/>
          <w:sz w:val="20"/>
          <w:szCs w:val="20"/>
        </w:rPr>
        <w:t xml:space="preserve"> към акредитация съгласно </w:t>
      </w:r>
      <w:r w:rsidR="009336CF" w:rsidRPr="00893DA4">
        <w:rPr>
          <w:rFonts w:ascii="Verdana" w:hAnsi="Verdana"/>
          <w:sz w:val="20"/>
          <w:szCs w:val="20"/>
        </w:rPr>
        <w:t xml:space="preserve">изискванията на </w:t>
      </w:r>
      <w:r w:rsidR="00893DA4" w:rsidRPr="00893DA4">
        <w:rPr>
          <w:rFonts w:ascii="Verdana" w:hAnsi="Verdana"/>
          <w:bCs/>
          <w:sz w:val="20"/>
          <w:szCs w:val="20"/>
        </w:rPr>
        <w:t>ISO 15189:2022</w:t>
      </w:r>
      <w:r w:rsidR="00CC4BFF" w:rsidRPr="00893DA4">
        <w:rPr>
          <w:rFonts w:ascii="Verdana" w:hAnsi="Verdana"/>
          <w:bCs/>
          <w:sz w:val="20"/>
          <w:szCs w:val="20"/>
        </w:rPr>
        <w:t xml:space="preserve"> </w:t>
      </w:r>
      <w:r w:rsidR="004D2EB4" w:rsidRPr="00893DA4">
        <w:rPr>
          <w:rFonts w:ascii="Verdana" w:hAnsi="Verdana"/>
          <w:sz w:val="20"/>
          <w:szCs w:val="20"/>
          <w:lang w:val="ru-RU"/>
        </w:rPr>
        <w:t>трябва</w:t>
      </w:r>
      <w:r w:rsidR="00015420" w:rsidRPr="00893DA4">
        <w:rPr>
          <w:rFonts w:ascii="Verdana" w:hAnsi="Verdana"/>
          <w:sz w:val="20"/>
          <w:szCs w:val="20"/>
          <w:lang w:val="ru-RU"/>
        </w:rPr>
        <w:t xml:space="preserve"> да съдържа </w:t>
      </w:r>
      <w:r w:rsidR="004D2EB4" w:rsidRPr="00893DA4">
        <w:rPr>
          <w:rFonts w:ascii="Verdana" w:hAnsi="Verdana"/>
          <w:sz w:val="20"/>
          <w:szCs w:val="20"/>
          <w:lang w:val="ru-RU"/>
        </w:rPr>
        <w:t>минимум</w:t>
      </w:r>
      <w:r w:rsidR="00015420" w:rsidRPr="00893DA4">
        <w:rPr>
          <w:rFonts w:ascii="Verdana" w:hAnsi="Verdana"/>
          <w:sz w:val="20"/>
          <w:szCs w:val="20"/>
          <w:lang w:val="ru-RU"/>
        </w:rPr>
        <w:t xml:space="preserve"> следната ин</w:t>
      </w:r>
      <w:r w:rsidR="00BA65CB" w:rsidRPr="00893DA4">
        <w:rPr>
          <w:rFonts w:ascii="Verdana" w:hAnsi="Verdana"/>
          <w:sz w:val="20"/>
          <w:szCs w:val="20"/>
          <w:lang w:val="ru-RU"/>
        </w:rPr>
        <w:t>ф</w:t>
      </w:r>
      <w:r w:rsidR="00015420" w:rsidRPr="00893DA4">
        <w:rPr>
          <w:rFonts w:ascii="Verdana" w:hAnsi="Verdana"/>
          <w:sz w:val="20"/>
          <w:szCs w:val="20"/>
          <w:lang w:val="ru-RU"/>
        </w:rPr>
        <w:t>ормация:</w:t>
      </w:r>
    </w:p>
    <w:p w14:paraId="63DC8E8A" w14:textId="77777777" w:rsidR="0021296E" w:rsidRPr="00893DA4" w:rsidRDefault="0021296E" w:rsidP="00481DC8">
      <w:pPr>
        <w:jc w:val="both"/>
        <w:rPr>
          <w:rFonts w:ascii="Verdana" w:hAnsi="Verdana"/>
          <w:sz w:val="16"/>
          <w:szCs w:val="16"/>
          <w:lang w:val="ru-RU"/>
        </w:rPr>
      </w:pPr>
    </w:p>
    <w:p w14:paraId="1F553AD2" w14:textId="77777777" w:rsidR="00D327DC" w:rsidRPr="00893DA4" w:rsidRDefault="0064127A" w:rsidP="00D327DC">
      <w:pPr>
        <w:numPr>
          <w:ilvl w:val="0"/>
          <w:numId w:val="11"/>
        </w:numPr>
        <w:jc w:val="both"/>
        <w:rPr>
          <w:rFonts w:ascii="Verdana" w:hAnsi="Verdana"/>
          <w:sz w:val="20"/>
          <w:szCs w:val="20"/>
        </w:rPr>
      </w:pPr>
      <w:r w:rsidRPr="00893DA4">
        <w:rPr>
          <w:rFonts w:ascii="Verdana" w:hAnsi="Verdana"/>
          <w:sz w:val="20"/>
          <w:szCs w:val="20"/>
        </w:rPr>
        <w:t>описание на</w:t>
      </w:r>
      <w:r w:rsidR="002829EA" w:rsidRPr="00893DA4">
        <w:rPr>
          <w:rFonts w:ascii="Verdana" w:hAnsi="Verdana"/>
          <w:sz w:val="20"/>
          <w:szCs w:val="20"/>
        </w:rPr>
        <w:t xml:space="preserve"> </w:t>
      </w:r>
      <w:r w:rsidR="007C26FE" w:rsidRPr="00893DA4">
        <w:rPr>
          <w:rFonts w:ascii="Verdana" w:hAnsi="Verdana"/>
          <w:sz w:val="20"/>
          <w:szCs w:val="20"/>
        </w:rPr>
        <w:t xml:space="preserve">специфичните действия за </w:t>
      </w:r>
      <w:r w:rsidR="006C2FAB" w:rsidRPr="00893DA4">
        <w:rPr>
          <w:rFonts w:ascii="Verdana" w:hAnsi="Verdana"/>
          <w:sz w:val="20"/>
          <w:szCs w:val="20"/>
        </w:rPr>
        <w:t>прилагане</w:t>
      </w:r>
      <w:r w:rsidR="007C26FE" w:rsidRPr="00893DA4">
        <w:rPr>
          <w:rFonts w:ascii="Verdana" w:hAnsi="Verdana"/>
          <w:sz w:val="20"/>
          <w:szCs w:val="20"/>
        </w:rPr>
        <w:t xml:space="preserve"> на </w:t>
      </w:r>
      <w:r w:rsidR="00634FE3" w:rsidRPr="00893DA4">
        <w:rPr>
          <w:rFonts w:ascii="Verdana" w:hAnsi="Verdana"/>
          <w:sz w:val="20"/>
          <w:szCs w:val="20"/>
        </w:rPr>
        <w:t>промените</w:t>
      </w:r>
      <w:r w:rsidRPr="00893DA4">
        <w:rPr>
          <w:rFonts w:ascii="Verdana" w:hAnsi="Verdana"/>
          <w:sz w:val="20"/>
          <w:szCs w:val="20"/>
        </w:rPr>
        <w:t>;</w:t>
      </w:r>
      <w:r w:rsidR="007C26FE" w:rsidRPr="00893DA4">
        <w:rPr>
          <w:rFonts w:ascii="Verdana" w:hAnsi="Verdana"/>
          <w:sz w:val="20"/>
          <w:szCs w:val="20"/>
        </w:rPr>
        <w:t xml:space="preserve"> </w:t>
      </w:r>
    </w:p>
    <w:p w14:paraId="23BE5957" w14:textId="77777777" w:rsidR="00D327DC" w:rsidRPr="00893DA4" w:rsidRDefault="007C26FE" w:rsidP="00D327DC">
      <w:pPr>
        <w:numPr>
          <w:ilvl w:val="0"/>
          <w:numId w:val="11"/>
        </w:numPr>
        <w:jc w:val="both"/>
        <w:rPr>
          <w:rFonts w:ascii="Verdana" w:hAnsi="Verdana"/>
          <w:sz w:val="20"/>
          <w:szCs w:val="20"/>
        </w:rPr>
      </w:pPr>
      <w:r w:rsidRPr="00893DA4">
        <w:rPr>
          <w:rFonts w:ascii="Verdana" w:hAnsi="Verdana"/>
          <w:sz w:val="20"/>
          <w:szCs w:val="20"/>
        </w:rPr>
        <w:t>график</w:t>
      </w:r>
      <w:r w:rsidR="00634FE3" w:rsidRPr="00893DA4">
        <w:rPr>
          <w:rFonts w:ascii="Verdana" w:hAnsi="Verdana"/>
          <w:sz w:val="20"/>
          <w:szCs w:val="20"/>
        </w:rPr>
        <w:t xml:space="preserve"> и</w:t>
      </w:r>
      <w:r w:rsidRPr="00893DA4">
        <w:rPr>
          <w:rFonts w:ascii="Verdana" w:hAnsi="Verdana"/>
          <w:sz w:val="20"/>
          <w:szCs w:val="20"/>
        </w:rPr>
        <w:t xml:space="preserve"> срок</w:t>
      </w:r>
      <w:r w:rsidR="00634FE3" w:rsidRPr="00893DA4">
        <w:rPr>
          <w:rFonts w:ascii="Verdana" w:hAnsi="Verdana"/>
          <w:sz w:val="20"/>
          <w:szCs w:val="20"/>
        </w:rPr>
        <w:t xml:space="preserve">ове за </w:t>
      </w:r>
      <w:r w:rsidR="006C2FAB" w:rsidRPr="00893DA4">
        <w:rPr>
          <w:rFonts w:ascii="Verdana" w:hAnsi="Verdana"/>
          <w:sz w:val="20"/>
          <w:szCs w:val="20"/>
        </w:rPr>
        <w:t xml:space="preserve">предприемане на необходимите действия за </w:t>
      </w:r>
      <w:r w:rsidR="00634FE3" w:rsidRPr="00893DA4">
        <w:rPr>
          <w:rFonts w:ascii="Verdana" w:hAnsi="Verdana"/>
          <w:sz w:val="20"/>
          <w:szCs w:val="20"/>
        </w:rPr>
        <w:t xml:space="preserve">превеждане на </w:t>
      </w:r>
      <w:r w:rsidR="006C2FAB" w:rsidRPr="00893DA4">
        <w:rPr>
          <w:rFonts w:ascii="Verdana" w:hAnsi="Verdana"/>
          <w:sz w:val="20"/>
          <w:szCs w:val="20"/>
        </w:rPr>
        <w:t xml:space="preserve">органа по сертификация на </w:t>
      </w:r>
      <w:r w:rsidR="008D516D" w:rsidRPr="00893DA4">
        <w:rPr>
          <w:rFonts w:ascii="Verdana" w:hAnsi="Verdana"/>
          <w:sz w:val="20"/>
          <w:szCs w:val="20"/>
        </w:rPr>
        <w:t>продукти, процеси и услуги</w:t>
      </w:r>
      <w:r w:rsidR="006C2FAB" w:rsidRPr="00893DA4">
        <w:rPr>
          <w:rFonts w:ascii="Verdana" w:hAnsi="Verdana"/>
          <w:sz w:val="20"/>
          <w:szCs w:val="20"/>
        </w:rPr>
        <w:t xml:space="preserve"> в съответствие с изискванията на новата версия на стандарта</w:t>
      </w:r>
      <w:r w:rsidR="00BE30F4" w:rsidRPr="00893DA4">
        <w:rPr>
          <w:rFonts w:ascii="Verdana" w:hAnsi="Verdana"/>
          <w:sz w:val="20"/>
          <w:szCs w:val="20"/>
        </w:rPr>
        <w:t>, съобразени с планираните оценки за надзор/п</w:t>
      </w:r>
      <w:r w:rsidR="006C2FAB" w:rsidRPr="00893DA4">
        <w:rPr>
          <w:rFonts w:ascii="Verdana" w:hAnsi="Verdana"/>
          <w:sz w:val="20"/>
          <w:szCs w:val="20"/>
        </w:rPr>
        <w:t>реакредитация/разшираване на обх</w:t>
      </w:r>
      <w:r w:rsidR="00BE30F4" w:rsidRPr="00893DA4">
        <w:rPr>
          <w:rFonts w:ascii="Verdana" w:hAnsi="Verdana"/>
          <w:sz w:val="20"/>
          <w:szCs w:val="20"/>
        </w:rPr>
        <w:t>вата на акредитация</w:t>
      </w:r>
      <w:r w:rsidR="0064127A" w:rsidRPr="00893DA4">
        <w:rPr>
          <w:rFonts w:ascii="Verdana" w:hAnsi="Verdana"/>
          <w:sz w:val="20"/>
          <w:szCs w:val="20"/>
        </w:rPr>
        <w:t>;</w:t>
      </w:r>
      <w:r w:rsidRPr="00893DA4">
        <w:rPr>
          <w:rFonts w:ascii="Verdana" w:hAnsi="Verdana"/>
          <w:sz w:val="20"/>
          <w:szCs w:val="20"/>
        </w:rPr>
        <w:t xml:space="preserve">  </w:t>
      </w:r>
    </w:p>
    <w:p w14:paraId="58762A48" w14:textId="77777777" w:rsidR="00D327DC" w:rsidRPr="00893DA4" w:rsidRDefault="007C26FE" w:rsidP="00D327DC">
      <w:pPr>
        <w:numPr>
          <w:ilvl w:val="0"/>
          <w:numId w:val="11"/>
        </w:numPr>
        <w:jc w:val="both"/>
        <w:rPr>
          <w:rFonts w:ascii="Verdana" w:hAnsi="Verdana"/>
          <w:sz w:val="20"/>
          <w:szCs w:val="20"/>
        </w:rPr>
      </w:pPr>
      <w:r w:rsidRPr="00893DA4">
        <w:rPr>
          <w:rFonts w:ascii="Verdana" w:hAnsi="Verdana"/>
          <w:sz w:val="20"/>
          <w:szCs w:val="20"/>
        </w:rPr>
        <w:t>отговорни лица</w:t>
      </w:r>
      <w:r w:rsidR="00634FE3" w:rsidRPr="00893DA4">
        <w:rPr>
          <w:rFonts w:ascii="Verdana" w:hAnsi="Verdana"/>
          <w:sz w:val="20"/>
          <w:szCs w:val="20"/>
        </w:rPr>
        <w:t>,</w:t>
      </w:r>
      <w:r w:rsidRPr="00893DA4">
        <w:rPr>
          <w:rFonts w:ascii="Verdana" w:hAnsi="Verdana"/>
          <w:sz w:val="20"/>
          <w:szCs w:val="20"/>
        </w:rPr>
        <w:t xml:space="preserve">  </w:t>
      </w:r>
    </w:p>
    <w:p w14:paraId="4840F787" w14:textId="77777777" w:rsidR="007C26FE" w:rsidRPr="00893DA4" w:rsidRDefault="007C26FE" w:rsidP="00D327DC">
      <w:pPr>
        <w:numPr>
          <w:ilvl w:val="0"/>
          <w:numId w:val="11"/>
        </w:numPr>
        <w:jc w:val="both"/>
        <w:rPr>
          <w:rFonts w:ascii="Verdana" w:hAnsi="Verdana"/>
          <w:sz w:val="20"/>
          <w:szCs w:val="20"/>
        </w:rPr>
      </w:pPr>
      <w:r w:rsidRPr="00893DA4">
        <w:rPr>
          <w:rFonts w:ascii="Verdana" w:hAnsi="Verdana"/>
          <w:sz w:val="20"/>
          <w:szCs w:val="20"/>
        </w:rPr>
        <w:t>начин за провеждане на наблюдение и оценка на предприетите действия.</w:t>
      </w:r>
    </w:p>
    <w:p w14:paraId="7F64DB0B" w14:textId="77777777" w:rsidR="0021296E" w:rsidRPr="00893DA4" w:rsidRDefault="0021296E" w:rsidP="0021296E">
      <w:pPr>
        <w:ind w:left="720"/>
        <w:jc w:val="both"/>
        <w:rPr>
          <w:rFonts w:ascii="Verdana" w:hAnsi="Verdana"/>
          <w:sz w:val="16"/>
          <w:szCs w:val="16"/>
        </w:rPr>
      </w:pPr>
    </w:p>
    <w:p w14:paraId="5B342F81" w14:textId="77777777" w:rsidR="00BE30F4" w:rsidRPr="00893DA4" w:rsidRDefault="00AD0319" w:rsidP="00481DC8">
      <w:pPr>
        <w:jc w:val="both"/>
        <w:rPr>
          <w:rFonts w:ascii="Verdana" w:hAnsi="Verdana"/>
          <w:b/>
          <w:sz w:val="20"/>
          <w:szCs w:val="20"/>
        </w:rPr>
      </w:pPr>
      <w:r w:rsidRPr="00893DA4">
        <w:rPr>
          <w:rFonts w:ascii="Verdana" w:hAnsi="Verdana"/>
          <w:b/>
          <w:sz w:val="20"/>
          <w:szCs w:val="20"/>
        </w:rPr>
        <w:t>План</w:t>
      </w:r>
      <w:r w:rsidR="0064127A" w:rsidRPr="00893DA4">
        <w:rPr>
          <w:rFonts w:ascii="Verdana" w:hAnsi="Verdana"/>
          <w:b/>
          <w:sz w:val="20"/>
          <w:szCs w:val="20"/>
        </w:rPr>
        <w:t>ът</w:t>
      </w:r>
      <w:r w:rsidRPr="00893DA4">
        <w:rPr>
          <w:rFonts w:ascii="Verdana" w:hAnsi="Verdana"/>
          <w:b/>
          <w:sz w:val="20"/>
          <w:szCs w:val="20"/>
        </w:rPr>
        <w:t xml:space="preserve"> за</w:t>
      </w:r>
      <w:r w:rsidR="00A60F76" w:rsidRPr="00893DA4">
        <w:rPr>
          <w:rFonts w:ascii="Verdana" w:hAnsi="Verdana"/>
          <w:b/>
          <w:sz w:val="20"/>
          <w:szCs w:val="20"/>
        </w:rPr>
        <w:t xml:space="preserve"> действи</w:t>
      </w:r>
      <w:r w:rsidR="0064127A" w:rsidRPr="00893DA4">
        <w:rPr>
          <w:rFonts w:ascii="Verdana" w:hAnsi="Verdana"/>
          <w:b/>
          <w:sz w:val="20"/>
          <w:szCs w:val="20"/>
        </w:rPr>
        <w:t>я</w:t>
      </w:r>
      <w:r w:rsidR="00A60F76" w:rsidRPr="00893DA4">
        <w:rPr>
          <w:rFonts w:ascii="Verdana" w:hAnsi="Verdana"/>
          <w:b/>
          <w:sz w:val="20"/>
          <w:szCs w:val="20"/>
        </w:rPr>
        <w:t xml:space="preserve"> за</w:t>
      </w:r>
      <w:r w:rsidRPr="00893DA4">
        <w:rPr>
          <w:rFonts w:ascii="Verdana" w:hAnsi="Verdana"/>
          <w:b/>
          <w:sz w:val="20"/>
          <w:szCs w:val="20"/>
        </w:rPr>
        <w:t xml:space="preserve"> преход</w:t>
      </w:r>
      <w:r w:rsidR="00601C37" w:rsidRPr="00893DA4">
        <w:rPr>
          <w:rFonts w:ascii="Verdana" w:hAnsi="Verdana"/>
          <w:b/>
          <w:sz w:val="20"/>
          <w:szCs w:val="20"/>
        </w:rPr>
        <w:t xml:space="preserve"> от акредитация съгласно </w:t>
      </w:r>
      <w:r w:rsidR="009336CF" w:rsidRPr="00893DA4">
        <w:rPr>
          <w:rFonts w:ascii="Verdana" w:hAnsi="Verdana"/>
          <w:b/>
          <w:sz w:val="20"/>
          <w:szCs w:val="20"/>
        </w:rPr>
        <w:t xml:space="preserve">изискванията на </w:t>
      </w:r>
      <w:r w:rsidR="00893DA4" w:rsidRPr="00893DA4">
        <w:rPr>
          <w:rFonts w:ascii="Verdana" w:hAnsi="Verdana"/>
          <w:b/>
          <w:sz w:val="20"/>
          <w:szCs w:val="20"/>
        </w:rPr>
        <w:t>ISO 15189:2012</w:t>
      </w:r>
      <w:r w:rsidR="0021296E" w:rsidRPr="00893DA4">
        <w:rPr>
          <w:rStyle w:val="Strong"/>
          <w:rFonts w:ascii="Verdana" w:hAnsi="Verdana"/>
          <w:b w:val="0"/>
          <w:sz w:val="20"/>
          <w:szCs w:val="20"/>
        </w:rPr>
        <w:t xml:space="preserve"> </w:t>
      </w:r>
      <w:r w:rsidR="0021296E" w:rsidRPr="00893DA4">
        <w:rPr>
          <w:rStyle w:val="Strong"/>
          <w:rFonts w:ascii="Verdana" w:hAnsi="Verdana"/>
          <w:sz w:val="20"/>
          <w:szCs w:val="20"/>
        </w:rPr>
        <w:t>към акредитация съгласно</w:t>
      </w:r>
      <w:r w:rsidR="0021296E" w:rsidRPr="00893DA4">
        <w:rPr>
          <w:rStyle w:val="Strong"/>
          <w:rFonts w:ascii="Verdana" w:hAnsi="Verdana"/>
          <w:b w:val="0"/>
          <w:sz w:val="20"/>
          <w:szCs w:val="20"/>
        </w:rPr>
        <w:t xml:space="preserve"> </w:t>
      </w:r>
      <w:r w:rsidR="009336CF" w:rsidRPr="00893DA4">
        <w:rPr>
          <w:rFonts w:ascii="Verdana" w:hAnsi="Verdana"/>
          <w:b/>
          <w:bCs/>
          <w:sz w:val="20"/>
          <w:szCs w:val="20"/>
        </w:rPr>
        <w:t xml:space="preserve">изискванията на </w:t>
      </w:r>
      <w:r w:rsidR="00893DA4" w:rsidRPr="00893DA4">
        <w:rPr>
          <w:rFonts w:ascii="Verdana" w:hAnsi="Verdana"/>
          <w:b/>
          <w:bCs/>
          <w:sz w:val="20"/>
          <w:szCs w:val="20"/>
        </w:rPr>
        <w:t>ISO 15189:2022</w:t>
      </w:r>
      <w:r w:rsidRPr="00893DA4">
        <w:rPr>
          <w:rFonts w:ascii="Verdana" w:hAnsi="Verdana"/>
          <w:b/>
          <w:sz w:val="20"/>
          <w:szCs w:val="20"/>
        </w:rPr>
        <w:t xml:space="preserve"> трябва да бъде предоставен за оценка в ИА БСА в срок до </w:t>
      </w:r>
      <w:r w:rsidR="0021296E" w:rsidRPr="00893DA4">
        <w:rPr>
          <w:rFonts w:ascii="Verdana" w:hAnsi="Verdana"/>
          <w:b/>
          <w:sz w:val="20"/>
          <w:szCs w:val="20"/>
        </w:rPr>
        <w:t>01.0</w:t>
      </w:r>
      <w:r w:rsidR="00893DA4" w:rsidRPr="00893DA4">
        <w:rPr>
          <w:rFonts w:ascii="Verdana" w:hAnsi="Verdana"/>
          <w:b/>
          <w:sz w:val="20"/>
          <w:szCs w:val="20"/>
        </w:rPr>
        <w:t>6</w:t>
      </w:r>
      <w:r w:rsidR="0021296E" w:rsidRPr="00893DA4">
        <w:rPr>
          <w:rFonts w:ascii="Verdana" w:hAnsi="Verdana"/>
          <w:b/>
          <w:sz w:val="20"/>
          <w:szCs w:val="20"/>
        </w:rPr>
        <w:t>.20</w:t>
      </w:r>
      <w:r w:rsidR="00893DA4" w:rsidRPr="00893DA4">
        <w:rPr>
          <w:rFonts w:ascii="Verdana" w:hAnsi="Verdana"/>
          <w:b/>
          <w:sz w:val="20"/>
          <w:szCs w:val="20"/>
        </w:rPr>
        <w:t xml:space="preserve">23 </w:t>
      </w:r>
      <w:r w:rsidR="007303A9" w:rsidRPr="00893DA4">
        <w:rPr>
          <w:rFonts w:ascii="Verdana" w:hAnsi="Verdana"/>
          <w:b/>
          <w:sz w:val="20"/>
          <w:szCs w:val="20"/>
        </w:rPr>
        <w:t>г.</w:t>
      </w:r>
      <w:r w:rsidR="00BE30F4" w:rsidRPr="00893DA4">
        <w:rPr>
          <w:rFonts w:ascii="Verdana" w:hAnsi="Verdana"/>
          <w:b/>
          <w:sz w:val="20"/>
          <w:szCs w:val="20"/>
        </w:rPr>
        <w:t xml:space="preserve"> </w:t>
      </w:r>
    </w:p>
    <w:p w14:paraId="7C0F4119" w14:textId="77777777" w:rsidR="0021296E" w:rsidRPr="00893DA4" w:rsidRDefault="0021296E" w:rsidP="00481DC8">
      <w:pPr>
        <w:jc w:val="both"/>
        <w:rPr>
          <w:rFonts w:ascii="Verdana" w:hAnsi="Verdana"/>
          <w:b/>
          <w:sz w:val="20"/>
          <w:szCs w:val="20"/>
        </w:rPr>
      </w:pPr>
    </w:p>
    <w:p w14:paraId="70416918" w14:textId="77777777" w:rsidR="007C78F5" w:rsidRPr="00893DA4" w:rsidRDefault="0021296E" w:rsidP="00481DC8">
      <w:pPr>
        <w:jc w:val="both"/>
        <w:rPr>
          <w:rFonts w:ascii="Verdana" w:hAnsi="Verdana"/>
          <w:sz w:val="20"/>
          <w:szCs w:val="20"/>
        </w:rPr>
      </w:pPr>
      <w:r w:rsidRPr="00893DA4">
        <w:rPr>
          <w:rFonts w:ascii="Verdana" w:hAnsi="Verdana"/>
          <w:sz w:val="20"/>
          <w:szCs w:val="20"/>
        </w:rPr>
        <w:t xml:space="preserve">В срок до 2 </w:t>
      </w:r>
      <w:r w:rsidRPr="00893DA4">
        <w:rPr>
          <w:rFonts w:ascii="Verdana" w:hAnsi="Verdana"/>
          <w:sz w:val="20"/>
          <w:szCs w:val="20"/>
          <w:lang w:val="en-US"/>
        </w:rPr>
        <w:t>(</w:t>
      </w:r>
      <w:r w:rsidRPr="00893DA4">
        <w:rPr>
          <w:rFonts w:ascii="Verdana" w:hAnsi="Verdana"/>
          <w:sz w:val="20"/>
          <w:szCs w:val="20"/>
        </w:rPr>
        <w:t>два</w:t>
      </w:r>
      <w:r w:rsidRPr="00893DA4">
        <w:rPr>
          <w:rFonts w:ascii="Verdana" w:hAnsi="Verdana"/>
          <w:sz w:val="20"/>
          <w:szCs w:val="20"/>
          <w:lang w:val="en-US"/>
        </w:rPr>
        <w:t>)</w:t>
      </w:r>
      <w:r w:rsidRPr="00893DA4">
        <w:rPr>
          <w:rFonts w:ascii="Verdana" w:hAnsi="Verdana"/>
          <w:sz w:val="20"/>
          <w:szCs w:val="20"/>
        </w:rPr>
        <w:t xml:space="preserve"> месеца</w:t>
      </w:r>
      <w:r w:rsidRPr="00893DA4">
        <w:rPr>
          <w:rFonts w:ascii="Verdana" w:hAnsi="Verdana"/>
          <w:sz w:val="20"/>
          <w:szCs w:val="20"/>
          <w:lang w:val="en-US"/>
        </w:rPr>
        <w:t xml:space="preserve"> </w:t>
      </w:r>
      <w:r w:rsidRPr="00893DA4">
        <w:rPr>
          <w:rFonts w:ascii="Verdana" w:hAnsi="Verdana"/>
          <w:sz w:val="20"/>
          <w:szCs w:val="20"/>
        </w:rPr>
        <w:t xml:space="preserve">от представянето на плана за преход, </w:t>
      </w:r>
      <w:r w:rsidR="007C78F5" w:rsidRPr="00893DA4">
        <w:rPr>
          <w:rFonts w:ascii="Verdana" w:hAnsi="Verdana"/>
          <w:sz w:val="20"/>
          <w:szCs w:val="20"/>
        </w:rPr>
        <w:t xml:space="preserve">ИА БСА ще </w:t>
      </w:r>
      <w:r w:rsidRPr="00893DA4">
        <w:rPr>
          <w:rFonts w:ascii="Verdana" w:hAnsi="Verdana"/>
          <w:sz w:val="20"/>
          <w:szCs w:val="20"/>
        </w:rPr>
        <w:t>извърши оценка дали</w:t>
      </w:r>
      <w:r w:rsidR="007C78F5" w:rsidRPr="00893DA4">
        <w:rPr>
          <w:rFonts w:ascii="Verdana" w:hAnsi="Verdana"/>
          <w:sz w:val="20"/>
          <w:szCs w:val="20"/>
        </w:rPr>
        <w:t xml:space="preserve"> плана осигурява ефикасно управление на процеса на преход от страна на </w:t>
      </w:r>
      <w:r w:rsidRPr="00893DA4">
        <w:rPr>
          <w:rFonts w:ascii="Verdana" w:hAnsi="Verdana"/>
          <w:sz w:val="20"/>
          <w:szCs w:val="20"/>
        </w:rPr>
        <w:t>лабораторията</w:t>
      </w:r>
      <w:r w:rsidR="007C78F5" w:rsidRPr="00893DA4">
        <w:rPr>
          <w:rFonts w:ascii="Verdana" w:hAnsi="Verdana"/>
          <w:sz w:val="20"/>
          <w:szCs w:val="20"/>
        </w:rPr>
        <w:t xml:space="preserve">. </w:t>
      </w:r>
    </w:p>
    <w:p w14:paraId="1869B83B" w14:textId="77777777" w:rsidR="0021296E" w:rsidRPr="00893DA4" w:rsidRDefault="0021296E" w:rsidP="00481DC8">
      <w:pPr>
        <w:jc w:val="both"/>
        <w:rPr>
          <w:rFonts w:ascii="Verdana" w:hAnsi="Verdana"/>
          <w:sz w:val="20"/>
          <w:szCs w:val="20"/>
        </w:rPr>
      </w:pPr>
    </w:p>
    <w:p w14:paraId="2ACD6250" w14:textId="77777777" w:rsidR="007C78F5" w:rsidRPr="00893DA4" w:rsidRDefault="007C78F5" w:rsidP="00481DC8">
      <w:pPr>
        <w:jc w:val="both"/>
        <w:rPr>
          <w:rFonts w:ascii="Verdana" w:hAnsi="Verdana"/>
          <w:sz w:val="20"/>
          <w:szCs w:val="20"/>
        </w:rPr>
      </w:pPr>
      <w:r w:rsidRPr="00893DA4">
        <w:rPr>
          <w:rFonts w:ascii="Verdana" w:hAnsi="Verdana"/>
          <w:sz w:val="20"/>
          <w:szCs w:val="20"/>
        </w:rPr>
        <w:t xml:space="preserve">При необходимост </w:t>
      </w:r>
      <w:r w:rsidR="00D048FE" w:rsidRPr="00893DA4">
        <w:rPr>
          <w:rFonts w:ascii="Verdana" w:hAnsi="Verdana"/>
          <w:sz w:val="20"/>
          <w:szCs w:val="20"/>
        </w:rPr>
        <w:t xml:space="preserve">ИА БСА </w:t>
      </w:r>
      <w:r w:rsidRPr="00893DA4">
        <w:rPr>
          <w:rFonts w:ascii="Verdana" w:hAnsi="Verdana"/>
          <w:sz w:val="20"/>
          <w:szCs w:val="20"/>
        </w:rPr>
        <w:t>може да изиска допълнителна информация или да изрази мнение за:</w:t>
      </w:r>
    </w:p>
    <w:p w14:paraId="2441575A" w14:textId="77777777" w:rsidR="007C78F5" w:rsidRPr="00893DA4" w:rsidRDefault="007C78F5" w:rsidP="00893DA4">
      <w:pPr>
        <w:numPr>
          <w:ilvl w:val="0"/>
          <w:numId w:val="15"/>
        </w:numPr>
        <w:jc w:val="both"/>
        <w:rPr>
          <w:rFonts w:ascii="Verdana" w:hAnsi="Verdana"/>
          <w:sz w:val="20"/>
          <w:szCs w:val="20"/>
        </w:rPr>
      </w:pPr>
      <w:r w:rsidRPr="00893DA4">
        <w:rPr>
          <w:rFonts w:ascii="Verdana" w:hAnsi="Verdana"/>
          <w:sz w:val="20"/>
          <w:szCs w:val="20"/>
        </w:rPr>
        <w:t>неподходящо интерпретиране на изискванията на стандарта или</w:t>
      </w:r>
    </w:p>
    <w:p w14:paraId="79C0EBB0" w14:textId="77777777" w:rsidR="00DE2641" w:rsidRPr="00893DA4" w:rsidRDefault="003E2BA2" w:rsidP="00893DA4">
      <w:pPr>
        <w:numPr>
          <w:ilvl w:val="0"/>
          <w:numId w:val="15"/>
        </w:numPr>
        <w:jc w:val="both"/>
        <w:rPr>
          <w:rFonts w:ascii="Verdana" w:hAnsi="Verdana"/>
          <w:sz w:val="20"/>
          <w:szCs w:val="20"/>
          <w:lang w:val="en-US"/>
        </w:rPr>
      </w:pPr>
      <w:r w:rsidRPr="00893DA4">
        <w:rPr>
          <w:rFonts w:ascii="Verdana" w:hAnsi="Verdana"/>
          <w:sz w:val="20"/>
          <w:szCs w:val="20"/>
        </w:rPr>
        <w:t xml:space="preserve">планирани </w:t>
      </w:r>
      <w:r w:rsidR="007C78F5" w:rsidRPr="00893DA4">
        <w:rPr>
          <w:rFonts w:ascii="Verdana" w:hAnsi="Verdana"/>
          <w:sz w:val="20"/>
          <w:szCs w:val="20"/>
        </w:rPr>
        <w:t>действия, които не гарантират осигуряване на успешен преход в срок.</w:t>
      </w:r>
    </w:p>
    <w:p w14:paraId="791EB087" w14:textId="77777777" w:rsidR="00DE2641" w:rsidRPr="00893DA4" w:rsidRDefault="00DE2641" w:rsidP="00DE2641">
      <w:pPr>
        <w:jc w:val="both"/>
        <w:rPr>
          <w:rFonts w:ascii="Verdana" w:hAnsi="Verdana"/>
          <w:sz w:val="20"/>
          <w:szCs w:val="20"/>
          <w:lang w:val="en-US"/>
        </w:rPr>
      </w:pPr>
    </w:p>
    <w:p w14:paraId="296712F8" w14:textId="77777777" w:rsidR="00DE2641" w:rsidRPr="00073110" w:rsidRDefault="00DE2641" w:rsidP="004678B0">
      <w:pPr>
        <w:jc w:val="center"/>
        <w:rPr>
          <w:rFonts w:ascii="Verdana" w:hAnsi="Verdana"/>
          <w:b/>
          <w:color w:val="FF0000"/>
          <w:sz w:val="20"/>
          <w:szCs w:val="20"/>
          <w:lang w:val="en-US"/>
        </w:rPr>
        <w:sectPr w:rsidR="00DE2641" w:rsidRPr="00073110" w:rsidSect="00CE0FE6">
          <w:footerReference w:type="default" r:id="rId10"/>
          <w:pgSz w:w="11905" w:h="16837"/>
          <w:pgMar w:top="2077" w:right="521" w:bottom="1800" w:left="925" w:header="0" w:footer="3" w:gutter="0"/>
          <w:cols w:space="720"/>
          <w:noEndnote/>
          <w:docGrid w:linePitch="360"/>
        </w:sectPr>
      </w:pPr>
    </w:p>
    <w:p w14:paraId="724F8B88" w14:textId="77777777" w:rsidR="00343B4D" w:rsidRPr="00073110" w:rsidRDefault="00343B4D" w:rsidP="00343B4D">
      <w:pPr>
        <w:pStyle w:val="20"/>
        <w:shd w:val="clear" w:color="auto" w:fill="auto"/>
        <w:tabs>
          <w:tab w:val="right" w:pos="3561"/>
        </w:tabs>
        <w:spacing w:line="240" w:lineRule="auto"/>
        <w:ind w:left="40" w:right="9240"/>
        <w:rPr>
          <w:b/>
          <w:lang w:val="bg-BG"/>
        </w:rPr>
      </w:pPr>
      <w:r w:rsidRPr="00073110">
        <w:rPr>
          <w:b/>
          <w:lang w:val="bg-BG"/>
        </w:rPr>
        <w:t>УТВЪРДИЛ:</w:t>
      </w:r>
      <w:r w:rsidRPr="00073110">
        <w:rPr>
          <w:lang w:val="bg-BG"/>
        </w:rPr>
        <w:t xml:space="preserve"> </w:t>
      </w:r>
      <w:r w:rsidRPr="00073110">
        <w:rPr>
          <w:b/>
          <w:lang w:val="bg-BG"/>
        </w:rPr>
        <w:t>Ирена Бориславова</w:t>
      </w:r>
    </w:p>
    <w:p w14:paraId="70A8DFA2" w14:textId="77777777" w:rsidR="00343B4D" w:rsidRPr="00073110" w:rsidRDefault="00343B4D" w:rsidP="00343B4D">
      <w:pPr>
        <w:pStyle w:val="30"/>
        <w:shd w:val="clear" w:color="auto" w:fill="auto"/>
        <w:spacing w:after="0" w:line="240" w:lineRule="auto"/>
        <w:ind w:left="43"/>
        <w:rPr>
          <w:b/>
          <w:i/>
          <w:lang w:val="en-US"/>
        </w:rPr>
      </w:pPr>
      <w:r w:rsidRPr="00073110">
        <w:rPr>
          <w:b/>
          <w:i/>
          <w:lang w:val="bg-BG"/>
        </w:rPr>
        <w:t>Изпълнителен директор на ИА БСА</w:t>
      </w:r>
    </w:p>
    <w:p w14:paraId="1998342D" w14:textId="77777777" w:rsidR="00343B4D" w:rsidRPr="00073110" w:rsidRDefault="00343B4D" w:rsidP="00343B4D">
      <w:pPr>
        <w:pStyle w:val="40"/>
        <w:shd w:val="clear" w:color="auto" w:fill="auto"/>
        <w:spacing w:before="0" w:after="0" w:line="240" w:lineRule="auto"/>
        <w:rPr>
          <w:rFonts w:ascii="Verdana" w:hAnsi="Verdana"/>
          <w:b/>
          <w:sz w:val="18"/>
          <w:szCs w:val="18"/>
          <w:lang w:val="bg-BG"/>
        </w:rPr>
      </w:pPr>
    </w:p>
    <w:p w14:paraId="7F167298" w14:textId="77777777" w:rsidR="00343B4D" w:rsidRPr="00073110" w:rsidRDefault="00343B4D" w:rsidP="00343B4D">
      <w:pPr>
        <w:pStyle w:val="40"/>
        <w:shd w:val="clear" w:color="auto" w:fill="auto"/>
        <w:spacing w:before="0" w:after="0" w:line="240" w:lineRule="auto"/>
        <w:rPr>
          <w:rFonts w:ascii="Verdana" w:hAnsi="Verdana"/>
          <w:b/>
          <w:sz w:val="18"/>
          <w:szCs w:val="18"/>
          <w:lang w:val="bg-BG"/>
        </w:rPr>
      </w:pPr>
      <w:r w:rsidRPr="00073110">
        <w:rPr>
          <w:rFonts w:ascii="Verdana" w:hAnsi="Verdana"/>
          <w:b/>
          <w:sz w:val="18"/>
          <w:szCs w:val="18"/>
          <w:lang w:val="bg-BG"/>
        </w:rPr>
        <w:t xml:space="preserve">ПОДХОД </w:t>
      </w:r>
      <w:r w:rsidRPr="00073110">
        <w:rPr>
          <w:rFonts w:ascii="Verdana" w:hAnsi="Verdana"/>
          <w:b/>
          <w:sz w:val="18"/>
          <w:szCs w:val="18"/>
        </w:rPr>
        <w:t xml:space="preserve">НА ИА БСА ЗА ИЗВЪРШВАНЕ НА ПРЕХОД </w:t>
      </w:r>
      <w:r w:rsidRPr="00073110">
        <w:rPr>
          <w:rFonts w:ascii="Verdana" w:hAnsi="Verdana"/>
          <w:b/>
          <w:sz w:val="18"/>
          <w:szCs w:val="18"/>
          <w:lang w:val="bg-BG"/>
        </w:rPr>
        <w:t>ОТ АКРЕДИТАЦИЯ</w:t>
      </w:r>
      <w:r w:rsidRPr="00073110">
        <w:rPr>
          <w:rFonts w:ascii="Verdana" w:hAnsi="Verdana"/>
          <w:b/>
          <w:sz w:val="18"/>
          <w:szCs w:val="18"/>
        </w:rPr>
        <w:t xml:space="preserve"> </w:t>
      </w:r>
      <w:r w:rsidRPr="00073110">
        <w:rPr>
          <w:rFonts w:ascii="Verdana" w:hAnsi="Verdana"/>
          <w:b/>
          <w:sz w:val="18"/>
          <w:szCs w:val="18"/>
          <w:lang w:val="bg-BG"/>
        </w:rPr>
        <w:t>СЪГЛАСНО</w:t>
      </w:r>
      <w:r w:rsidRPr="00073110">
        <w:rPr>
          <w:rFonts w:ascii="Verdana" w:hAnsi="Verdana"/>
          <w:b/>
          <w:sz w:val="18"/>
          <w:szCs w:val="18"/>
        </w:rPr>
        <w:t xml:space="preserve"> ISO 1</w:t>
      </w:r>
      <w:r w:rsidR="00073110" w:rsidRPr="00073110">
        <w:rPr>
          <w:rFonts w:ascii="Verdana" w:hAnsi="Verdana"/>
          <w:b/>
          <w:sz w:val="18"/>
          <w:szCs w:val="18"/>
          <w:lang w:val="bg-BG"/>
        </w:rPr>
        <w:t>5189</w:t>
      </w:r>
      <w:r w:rsidR="00073110" w:rsidRPr="00073110">
        <w:rPr>
          <w:rFonts w:ascii="Verdana" w:hAnsi="Verdana"/>
          <w:b/>
          <w:sz w:val="18"/>
          <w:szCs w:val="18"/>
        </w:rPr>
        <w:t>:2012</w:t>
      </w:r>
      <w:r w:rsidRPr="00073110">
        <w:rPr>
          <w:rFonts w:ascii="Verdana" w:hAnsi="Verdana"/>
          <w:b/>
          <w:sz w:val="18"/>
          <w:szCs w:val="18"/>
        </w:rPr>
        <w:t xml:space="preserve"> </w:t>
      </w:r>
      <w:r w:rsidR="00073110" w:rsidRPr="00073110">
        <w:rPr>
          <w:rFonts w:ascii="Verdana" w:hAnsi="Verdana"/>
          <w:b/>
          <w:sz w:val="18"/>
          <w:szCs w:val="18"/>
          <w:lang w:val="bg-BG"/>
        </w:rPr>
        <w:t xml:space="preserve">(и ISO 22870:2016) </w:t>
      </w:r>
      <w:r w:rsidRPr="00073110">
        <w:rPr>
          <w:rFonts w:ascii="Verdana" w:hAnsi="Verdana"/>
          <w:b/>
          <w:sz w:val="18"/>
          <w:szCs w:val="18"/>
        </w:rPr>
        <w:t xml:space="preserve">КЪМ СТАНДАРТ ISO </w:t>
      </w:r>
      <w:r w:rsidR="00073110" w:rsidRPr="00073110">
        <w:rPr>
          <w:rFonts w:ascii="Verdana" w:hAnsi="Verdana"/>
          <w:b/>
          <w:sz w:val="18"/>
          <w:szCs w:val="18"/>
          <w:lang w:val="bg-BG"/>
        </w:rPr>
        <w:t>15189:2022</w:t>
      </w:r>
    </w:p>
    <w:p w14:paraId="1B371FAA" w14:textId="77777777" w:rsidR="00343B4D" w:rsidRPr="00073110" w:rsidRDefault="00343B4D" w:rsidP="00343B4D">
      <w:pPr>
        <w:pStyle w:val="60"/>
        <w:shd w:val="clear" w:color="auto" w:fill="auto"/>
        <w:spacing w:before="0" w:line="130" w:lineRule="exact"/>
        <w:ind w:left="40"/>
        <w:rPr>
          <w:color w:val="FF0000"/>
          <w:sz w:val="18"/>
          <w:szCs w:val="18"/>
          <w:lang w:val="bg-BG"/>
        </w:rPr>
      </w:pPr>
    </w:p>
    <w:p w14:paraId="2CC68CB5" w14:textId="77777777" w:rsidR="00343B4D" w:rsidRPr="00073110" w:rsidRDefault="00343B4D" w:rsidP="00343B4D">
      <w:pPr>
        <w:pStyle w:val="60"/>
        <w:shd w:val="clear" w:color="auto" w:fill="auto"/>
        <w:spacing w:before="0" w:line="130" w:lineRule="exact"/>
        <w:ind w:left="40"/>
        <w:rPr>
          <w:color w:val="FF0000"/>
          <w:sz w:val="16"/>
          <w:szCs w:val="16"/>
          <w:lang w:val="bg-BG"/>
        </w:rPr>
        <w:sectPr w:rsidR="00343B4D" w:rsidRPr="00073110" w:rsidSect="00343B4D">
          <w:pgSz w:w="16837" w:h="11905" w:orient="landscape"/>
          <w:pgMar w:top="925" w:right="2077" w:bottom="521" w:left="1800" w:header="0" w:footer="3" w:gutter="0"/>
          <w:cols w:space="720"/>
          <w:noEndnote/>
          <w:docGrid w:linePitch="360"/>
        </w:sectPr>
      </w:pPr>
    </w:p>
    <w:tbl>
      <w:tblPr>
        <w:tblW w:w="16168" w:type="dxa"/>
        <w:tblInd w:w="-1526" w:type="dxa"/>
        <w:tblLayout w:type="fixed"/>
        <w:tblCellMar>
          <w:left w:w="10" w:type="dxa"/>
          <w:right w:w="10" w:type="dxa"/>
        </w:tblCellMar>
        <w:tblLook w:val="04A0" w:firstRow="1" w:lastRow="0" w:firstColumn="1" w:lastColumn="0" w:noHBand="0" w:noVBand="1"/>
      </w:tblPr>
      <w:tblGrid>
        <w:gridCol w:w="270"/>
        <w:gridCol w:w="1520"/>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74"/>
      </w:tblGrid>
      <w:tr w:rsidR="00426D1F" w:rsidRPr="00073110" w14:paraId="4999FB15" w14:textId="77777777" w:rsidTr="000B7D39">
        <w:trPr>
          <w:trHeight w:val="1034"/>
        </w:trPr>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14:paraId="5810CE53" w14:textId="77777777" w:rsidR="00426D1F" w:rsidRPr="00073110" w:rsidRDefault="00426D1F" w:rsidP="00426D1F">
            <w:pPr>
              <w:spacing w:before="240"/>
              <w:jc w:val="center"/>
              <w:rPr>
                <w:rFonts w:ascii="Verdana" w:hAnsi="Verdana"/>
                <w:color w:val="FF0000"/>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17C82670" w14:textId="77777777" w:rsidR="00426D1F" w:rsidRPr="00073110" w:rsidRDefault="00426D1F" w:rsidP="00426D1F">
            <w:pPr>
              <w:spacing w:before="240"/>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47759D2" w14:textId="77777777" w:rsidR="00426D1F" w:rsidRPr="00073110" w:rsidRDefault="00426D1F" w:rsidP="00426D1F">
            <w:pPr>
              <w:jc w:val="center"/>
              <w:rPr>
                <w:rFonts w:ascii="Verdana" w:hAnsi="Verdana" w:cs="Calibri"/>
                <w:b/>
                <w:sz w:val="12"/>
                <w:szCs w:val="12"/>
                <w:lang w:val="en-US"/>
              </w:rPr>
            </w:pPr>
            <w:r w:rsidRPr="00073110">
              <w:rPr>
                <w:rFonts w:ascii="Verdana" w:hAnsi="Verdana" w:cs="Calibri"/>
                <w:b/>
                <w:sz w:val="12"/>
                <w:szCs w:val="12"/>
              </w:rPr>
              <w:t>06</w:t>
            </w:r>
            <w:r w:rsidRPr="00073110">
              <w:rPr>
                <w:rFonts w:ascii="Verdana" w:hAnsi="Verdana" w:cs="Calibri"/>
                <w:b/>
                <w:sz w:val="12"/>
                <w:szCs w:val="12"/>
                <w:lang w:val="en-US"/>
              </w:rPr>
              <w:t>.12.2022</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1BDC3E7"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lang w:val="en-US"/>
              </w:rPr>
              <w:t>01.0</w:t>
            </w:r>
            <w:r>
              <w:rPr>
                <w:rFonts w:ascii="Verdana" w:hAnsi="Verdana" w:cs="Calibri"/>
                <w:b/>
                <w:sz w:val="12"/>
                <w:szCs w:val="12"/>
              </w:rPr>
              <w:t>1</w:t>
            </w:r>
            <w:r w:rsidRPr="00073110">
              <w:rPr>
                <w:rFonts w:ascii="Verdana" w:hAnsi="Verdana" w:cs="Calibri"/>
                <w:b/>
                <w:sz w:val="12"/>
                <w:szCs w:val="12"/>
                <w:lang w:val="en-US"/>
              </w:rPr>
              <w:t>.20</w:t>
            </w:r>
            <w:r w:rsidRPr="00073110">
              <w:rPr>
                <w:rFonts w:ascii="Verdana" w:hAnsi="Verdana" w:cs="Calibri"/>
                <w:b/>
                <w:sz w:val="12"/>
                <w:szCs w:val="12"/>
              </w:rPr>
              <w:t>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8113D14"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lang w:val="en-US"/>
              </w:rPr>
              <w:t>01.0</w:t>
            </w:r>
            <w:r>
              <w:rPr>
                <w:rFonts w:ascii="Verdana" w:hAnsi="Verdana" w:cs="Calibri"/>
                <w:b/>
                <w:sz w:val="12"/>
                <w:szCs w:val="12"/>
              </w:rPr>
              <w:t>2</w:t>
            </w:r>
            <w:r w:rsidRPr="00073110">
              <w:rPr>
                <w:rFonts w:ascii="Verdana" w:hAnsi="Verdana" w:cs="Calibri"/>
                <w:b/>
                <w:sz w:val="12"/>
                <w:szCs w:val="12"/>
                <w:lang w:val="en-US"/>
              </w:rPr>
              <w:t>.20</w:t>
            </w:r>
            <w:r w:rsidRPr="00073110">
              <w:rPr>
                <w:rFonts w:ascii="Verdana" w:hAnsi="Verdana" w:cs="Calibri"/>
                <w:b/>
                <w:sz w:val="12"/>
                <w:szCs w:val="12"/>
              </w:rPr>
              <w:t>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860D8AC" w14:textId="77777777" w:rsidR="00426D1F" w:rsidRPr="00073110" w:rsidRDefault="00426D1F" w:rsidP="00426D1F">
            <w:pPr>
              <w:jc w:val="center"/>
              <w:rPr>
                <w:rFonts w:ascii="Verdana" w:hAnsi="Verdana" w:cs="Calibri"/>
                <w:b/>
                <w:sz w:val="12"/>
                <w:szCs w:val="12"/>
                <w:lang w:val="en-US"/>
              </w:rPr>
            </w:pPr>
            <w:r w:rsidRPr="00073110">
              <w:rPr>
                <w:rFonts w:ascii="Verdana" w:hAnsi="Verdana" w:cs="Calibri"/>
                <w:b/>
                <w:sz w:val="12"/>
                <w:szCs w:val="12"/>
                <w:lang w:val="en-US"/>
              </w:rPr>
              <w:t>0</w:t>
            </w:r>
            <w:r w:rsidRPr="00073110">
              <w:rPr>
                <w:rFonts w:ascii="Verdana" w:hAnsi="Verdana" w:cs="Calibri"/>
                <w:b/>
                <w:sz w:val="12"/>
                <w:szCs w:val="12"/>
              </w:rPr>
              <w:t>1.</w:t>
            </w:r>
            <w:r w:rsidRPr="00073110">
              <w:rPr>
                <w:rFonts w:ascii="Verdana" w:hAnsi="Verdana" w:cs="Calibri"/>
                <w:b/>
                <w:sz w:val="12"/>
                <w:szCs w:val="12"/>
                <w:lang w:val="en-US"/>
              </w:rPr>
              <w:t>0</w:t>
            </w:r>
            <w:r>
              <w:rPr>
                <w:rFonts w:ascii="Verdana" w:hAnsi="Verdana" w:cs="Calibri"/>
                <w:b/>
                <w:sz w:val="12"/>
                <w:szCs w:val="12"/>
              </w:rPr>
              <w:t>3</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5664FEFF" w14:textId="77777777" w:rsidR="00426D1F" w:rsidRPr="00073110" w:rsidRDefault="00426D1F" w:rsidP="00426D1F">
            <w:pPr>
              <w:jc w:val="center"/>
              <w:rPr>
                <w:rFonts w:ascii="Verdana" w:hAnsi="Verdana" w:cs="Calibri"/>
                <w:b/>
                <w:sz w:val="12"/>
                <w:szCs w:val="12"/>
                <w:lang w:val="en-US"/>
              </w:rPr>
            </w:pPr>
            <w:r w:rsidRPr="00073110">
              <w:rPr>
                <w:rFonts w:ascii="Verdana" w:hAnsi="Verdana" w:cs="Calibri"/>
                <w:b/>
                <w:sz w:val="12"/>
                <w:szCs w:val="12"/>
                <w:lang w:val="en-US"/>
              </w:rPr>
              <w:t>0</w:t>
            </w:r>
            <w:r w:rsidRPr="00073110">
              <w:rPr>
                <w:rFonts w:ascii="Verdana" w:hAnsi="Verdana" w:cs="Calibri"/>
                <w:b/>
                <w:sz w:val="12"/>
                <w:szCs w:val="12"/>
              </w:rPr>
              <w:t>1.</w:t>
            </w:r>
            <w:r w:rsidRPr="00073110">
              <w:rPr>
                <w:rFonts w:ascii="Verdana" w:hAnsi="Verdana" w:cs="Calibri"/>
                <w:b/>
                <w:sz w:val="12"/>
                <w:szCs w:val="12"/>
                <w:lang w:val="en-US"/>
              </w:rPr>
              <w:t>0</w:t>
            </w:r>
            <w:r>
              <w:rPr>
                <w:rFonts w:ascii="Verdana" w:hAnsi="Verdana" w:cs="Calibri"/>
                <w:b/>
                <w:sz w:val="12"/>
                <w:szCs w:val="12"/>
              </w:rPr>
              <w:t>4</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B976588"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rPr>
              <w:t>01.0</w:t>
            </w:r>
            <w:r>
              <w:rPr>
                <w:rFonts w:ascii="Verdana" w:hAnsi="Verdana" w:cs="Calibri"/>
                <w:b/>
                <w:sz w:val="12"/>
                <w:szCs w:val="12"/>
              </w:rPr>
              <w:t>5</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A1F1DFF"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rPr>
              <w:t>01.0</w:t>
            </w:r>
            <w:r>
              <w:rPr>
                <w:rFonts w:ascii="Verdana" w:hAnsi="Verdana" w:cs="Calibri"/>
                <w:b/>
                <w:sz w:val="12"/>
                <w:szCs w:val="12"/>
              </w:rPr>
              <w:t>6</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6CEA8C4"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rPr>
              <w:t>01.0</w:t>
            </w:r>
            <w:r>
              <w:rPr>
                <w:rFonts w:ascii="Verdana" w:hAnsi="Verdana" w:cs="Calibri"/>
                <w:b/>
                <w:sz w:val="12"/>
                <w:szCs w:val="12"/>
              </w:rPr>
              <w:t>7</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12D14B0"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rPr>
              <w:t>01.0</w:t>
            </w:r>
            <w:r>
              <w:rPr>
                <w:rFonts w:ascii="Verdana" w:hAnsi="Verdana" w:cs="Calibri"/>
                <w:b/>
                <w:sz w:val="12"/>
                <w:szCs w:val="12"/>
              </w:rPr>
              <w:t>8</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97F613C"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rPr>
              <w:t>01.</w:t>
            </w:r>
            <w:r>
              <w:rPr>
                <w:rFonts w:ascii="Verdana" w:hAnsi="Verdana" w:cs="Calibri"/>
                <w:b/>
                <w:sz w:val="12"/>
                <w:szCs w:val="12"/>
              </w:rPr>
              <w:t>09</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6C1DE3C"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rPr>
              <w:t>01.1</w:t>
            </w:r>
            <w:r>
              <w:rPr>
                <w:rFonts w:ascii="Verdana" w:hAnsi="Verdana" w:cs="Calibri"/>
                <w:b/>
                <w:sz w:val="12"/>
                <w:szCs w:val="12"/>
              </w:rPr>
              <w:t>0</w:t>
            </w:r>
            <w:r w:rsidRPr="00073110">
              <w:rPr>
                <w:rFonts w:ascii="Verdana" w:hAnsi="Verdana" w:cs="Calibri"/>
                <w:b/>
                <w:sz w:val="12"/>
                <w:szCs w:val="12"/>
              </w:rPr>
              <w:t>.2022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677A0C8"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rPr>
              <w:t>01.</w:t>
            </w:r>
            <w:r w:rsidRPr="00073110">
              <w:rPr>
                <w:rFonts w:ascii="Verdana" w:hAnsi="Verdana" w:cs="Calibri"/>
                <w:b/>
                <w:sz w:val="12"/>
                <w:szCs w:val="12"/>
                <w:lang w:val="en-US"/>
              </w:rPr>
              <w:t>1</w:t>
            </w:r>
            <w:r>
              <w:rPr>
                <w:rFonts w:ascii="Verdana" w:hAnsi="Verdana" w:cs="Calibri"/>
                <w:b/>
                <w:sz w:val="12"/>
                <w:szCs w:val="12"/>
              </w:rPr>
              <w:t>1</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65FCB3C" w14:textId="77777777" w:rsidR="00426D1F" w:rsidRPr="00073110" w:rsidRDefault="00426D1F" w:rsidP="00426D1F">
            <w:pPr>
              <w:jc w:val="center"/>
              <w:rPr>
                <w:rFonts w:ascii="Verdana" w:hAnsi="Verdana" w:cs="Calibri"/>
                <w:b/>
                <w:sz w:val="12"/>
                <w:szCs w:val="12"/>
              </w:rPr>
            </w:pPr>
            <w:r w:rsidRPr="00073110">
              <w:rPr>
                <w:rFonts w:ascii="Verdana" w:hAnsi="Verdana" w:cs="Calibri"/>
                <w:b/>
                <w:sz w:val="12"/>
                <w:szCs w:val="12"/>
              </w:rPr>
              <w:t>01.</w:t>
            </w:r>
            <w:r w:rsidRPr="00073110">
              <w:rPr>
                <w:rFonts w:ascii="Verdana" w:hAnsi="Verdana" w:cs="Calibri"/>
                <w:b/>
                <w:sz w:val="12"/>
                <w:szCs w:val="12"/>
                <w:lang w:val="en-US"/>
              </w:rPr>
              <w:t>1</w:t>
            </w:r>
            <w:r>
              <w:rPr>
                <w:rFonts w:ascii="Verdana" w:hAnsi="Verdana" w:cs="Calibri"/>
                <w:b/>
                <w:sz w:val="12"/>
                <w:szCs w:val="12"/>
              </w:rPr>
              <w:t>2</w:t>
            </w:r>
            <w:r w:rsidRPr="00073110">
              <w:rPr>
                <w:rFonts w:ascii="Verdana" w:hAnsi="Verdana" w:cs="Calibri"/>
                <w:b/>
                <w:sz w:val="12"/>
                <w:szCs w:val="12"/>
              </w:rPr>
              <w:t>.202</w:t>
            </w:r>
            <w:r>
              <w:rPr>
                <w:rFonts w:ascii="Verdana" w:hAnsi="Verdana" w:cs="Calibri"/>
                <w:b/>
                <w:sz w:val="12"/>
                <w:szCs w:val="12"/>
              </w:rPr>
              <w:t>3</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4048794" w14:textId="77777777" w:rsidR="00426D1F" w:rsidRPr="00426D1F" w:rsidRDefault="00426D1F" w:rsidP="00426D1F">
            <w:pPr>
              <w:jc w:val="center"/>
              <w:rPr>
                <w:rFonts w:ascii="Verdana" w:hAnsi="Verdana" w:cs="Calibri"/>
                <w:b/>
                <w:sz w:val="12"/>
                <w:szCs w:val="12"/>
                <w:lang w:val="en-US"/>
              </w:rPr>
            </w:pPr>
            <w:r w:rsidRPr="00426D1F">
              <w:rPr>
                <w:rFonts w:ascii="Verdana" w:hAnsi="Verdana" w:cs="Calibri"/>
                <w:b/>
                <w:sz w:val="12"/>
                <w:szCs w:val="12"/>
              </w:rPr>
              <w:t>01.0</w:t>
            </w:r>
            <w:r w:rsidRPr="00426D1F">
              <w:rPr>
                <w:rFonts w:ascii="Verdana" w:hAnsi="Verdana" w:cs="Calibri"/>
                <w:b/>
                <w:sz w:val="12"/>
                <w:szCs w:val="12"/>
                <w:lang w:val="en-US"/>
              </w:rPr>
              <w:t>1</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CD1F6E2"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2</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DF905D4"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3</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5618C08"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4</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A45C5AF"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5</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1BD7596"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6</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C54B902"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7</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94A606F"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8</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56272F1"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9</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CE0619E"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w:t>
            </w:r>
            <w:r w:rsidRPr="00426D1F">
              <w:rPr>
                <w:rFonts w:ascii="Verdana" w:hAnsi="Verdana" w:cs="Calibri"/>
                <w:b/>
                <w:sz w:val="12"/>
                <w:szCs w:val="12"/>
                <w:lang w:val="en-US"/>
              </w:rPr>
              <w:t>10</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70DAA9D"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w:t>
            </w:r>
            <w:r w:rsidRPr="00426D1F">
              <w:rPr>
                <w:rFonts w:ascii="Verdana" w:hAnsi="Verdana" w:cs="Calibri"/>
                <w:b/>
                <w:sz w:val="12"/>
                <w:szCs w:val="12"/>
                <w:lang w:val="en-US"/>
              </w:rPr>
              <w:t>1</w:t>
            </w:r>
            <w:r w:rsidRPr="00426D1F">
              <w:rPr>
                <w:rFonts w:ascii="Verdana" w:hAnsi="Verdana" w:cs="Calibri"/>
                <w:b/>
                <w:sz w:val="12"/>
                <w:szCs w:val="12"/>
              </w:rPr>
              <w:t>1.2024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2571611"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01.1</w:t>
            </w:r>
            <w:r w:rsidRPr="00426D1F">
              <w:rPr>
                <w:rFonts w:ascii="Verdana" w:hAnsi="Verdana" w:cs="Calibri"/>
                <w:b/>
                <w:sz w:val="12"/>
                <w:szCs w:val="12"/>
                <w:lang w:val="en-US"/>
              </w:rPr>
              <w:t>2</w:t>
            </w:r>
            <w:r w:rsidRPr="00426D1F">
              <w:rPr>
                <w:rFonts w:ascii="Verdana" w:hAnsi="Verdana" w:cs="Calibri"/>
                <w:b/>
                <w:sz w:val="12"/>
                <w:szCs w:val="12"/>
              </w:rPr>
              <w:t>.2024</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1F63329"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01.01.20</w:t>
            </w:r>
            <w:r w:rsidRPr="00426D1F">
              <w:rPr>
                <w:rFonts w:ascii="Verdana" w:hAnsi="Verdana" w:cs="Calibri"/>
                <w:b/>
                <w:sz w:val="12"/>
                <w:szCs w:val="12"/>
                <w:lang w:val="en-US"/>
              </w:rPr>
              <w:t>2</w:t>
            </w:r>
            <w:r w:rsidRPr="00426D1F">
              <w:rPr>
                <w:rFonts w:ascii="Verdana" w:hAnsi="Verdana" w:cs="Calibri"/>
                <w:b/>
                <w:sz w:val="12"/>
                <w:szCs w:val="12"/>
              </w:rPr>
              <w:t>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159373"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2</w:t>
            </w:r>
            <w:r w:rsidRPr="00426D1F">
              <w:rPr>
                <w:rFonts w:ascii="Verdana" w:hAnsi="Verdana" w:cs="Calibri"/>
                <w:b/>
                <w:sz w:val="12"/>
                <w:szCs w:val="12"/>
              </w:rPr>
              <w:t>.2025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FC66E4D"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3</w:t>
            </w:r>
            <w:r w:rsidRPr="00426D1F">
              <w:rPr>
                <w:rFonts w:ascii="Verdana" w:hAnsi="Verdana" w:cs="Calibri"/>
                <w:b/>
                <w:sz w:val="12"/>
                <w:szCs w:val="12"/>
              </w:rPr>
              <w:t>.2025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A8283C5"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4</w:t>
            </w:r>
            <w:r w:rsidRPr="00426D1F">
              <w:rPr>
                <w:rFonts w:ascii="Verdana" w:hAnsi="Verdana" w:cs="Calibri"/>
                <w:b/>
                <w:sz w:val="12"/>
                <w:szCs w:val="12"/>
              </w:rPr>
              <w:t>.2025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C0609E2"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5</w:t>
            </w:r>
            <w:r w:rsidRPr="00426D1F">
              <w:rPr>
                <w:rFonts w:ascii="Verdana" w:hAnsi="Verdana" w:cs="Calibri"/>
                <w:b/>
                <w:sz w:val="12"/>
                <w:szCs w:val="12"/>
              </w:rPr>
              <w:t>.2025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EB623E8"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w:t>
            </w:r>
            <w:r w:rsidRPr="00426D1F">
              <w:rPr>
                <w:rFonts w:ascii="Verdana" w:hAnsi="Verdana" w:cs="Calibri"/>
                <w:b/>
                <w:sz w:val="12"/>
                <w:szCs w:val="12"/>
                <w:lang w:val="en-US"/>
              </w:rPr>
              <w:t>6</w:t>
            </w:r>
            <w:r w:rsidRPr="00426D1F">
              <w:rPr>
                <w:rFonts w:ascii="Verdana" w:hAnsi="Verdana" w:cs="Calibri"/>
                <w:b/>
                <w:sz w:val="12"/>
                <w:szCs w:val="12"/>
              </w:rPr>
              <w:t>.2025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C8C380B"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01.07.2025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A4F0A1D"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01.08.2025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543C7CA"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01.09.2025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4544E47"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01.10.2025</w:t>
            </w:r>
          </w:p>
        </w:tc>
        <w:tc>
          <w:tcPr>
            <w:tcW w:w="38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14BAE9E"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01.11.2025</w:t>
            </w:r>
          </w:p>
        </w:tc>
        <w:tc>
          <w:tcPr>
            <w:tcW w:w="374"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F76BF69" w14:textId="77777777" w:rsidR="00426D1F" w:rsidRPr="00426D1F" w:rsidRDefault="00426D1F" w:rsidP="00426D1F">
            <w:pPr>
              <w:jc w:val="center"/>
              <w:rPr>
                <w:rFonts w:ascii="Verdana" w:hAnsi="Verdana" w:cs="Calibri"/>
                <w:b/>
                <w:sz w:val="12"/>
                <w:szCs w:val="12"/>
              </w:rPr>
            </w:pPr>
            <w:r w:rsidRPr="00426D1F">
              <w:rPr>
                <w:rFonts w:ascii="Verdana" w:hAnsi="Verdana" w:cs="Calibri"/>
                <w:b/>
                <w:sz w:val="12"/>
                <w:szCs w:val="12"/>
              </w:rPr>
              <w:t>06.12.2025</w:t>
            </w:r>
          </w:p>
        </w:tc>
      </w:tr>
      <w:tr w:rsidR="00426D1F" w:rsidRPr="00073110" w14:paraId="08AAF41B" w14:textId="77777777" w:rsidTr="000B7D39">
        <w:trPr>
          <w:trHeight w:val="302"/>
        </w:trPr>
        <w:tc>
          <w:tcPr>
            <w:tcW w:w="270" w:type="dxa"/>
            <w:vMerge w:val="restart"/>
            <w:tcBorders>
              <w:top w:val="single" w:sz="4" w:space="0" w:color="auto"/>
              <w:left w:val="single" w:sz="4" w:space="0" w:color="auto"/>
              <w:right w:val="single" w:sz="4" w:space="0" w:color="auto"/>
            </w:tcBorders>
            <w:shd w:val="clear" w:color="auto" w:fill="5B9BD5"/>
            <w:textDirection w:val="btLr"/>
            <w:vAlign w:val="center"/>
          </w:tcPr>
          <w:p w14:paraId="33422999" w14:textId="77777777" w:rsidR="00343B4D" w:rsidRPr="00073110" w:rsidRDefault="00343B4D" w:rsidP="00026BFB">
            <w:pPr>
              <w:pStyle w:val="20"/>
              <w:shd w:val="clear" w:color="auto" w:fill="auto"/>
              <w:spacing w:line="240" w:lineRule="auto"/>
              <w:ind w:left="120" w:right="113"/>
              <w:jc w:val="center"/>
              <w:rPr>
                <w:b/>
                <w:sz w:val="15"/>
                <w:szCs w:val="15"/>
                <w:lang w:val="bg-BG"/>
              </w:rPr>
            </w:pPr>
            <w:r w:rsidRPr="00073110">
              <w:rPr>
                <w:b/>
                <w:sz w:val="15"/>
                <w:szCs w:val="15"/>
                <w:lang w:val="bg-BG"/>
              </w:rPr>
              <w:t>ИА БСА</w:t>
            </w: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0C42ABAD" w14:textId="77777777" w:rsidR="00343B4D" w:rsidRPr="00073110" w:rsidRDefault="00343B4D" w:rsidP="00026BFB">
            <w:pPr>
              <w:pStyle w:val="1"/>
              <w:shd w:val="clear" w:color="auto" w:fill="auto"/>
              <w:spacing w:line="240" w:lineRule="auto"/>
              <w:ind w:left="86"/>
              <w:rPr>
                <w:sz w:val="12"/>
                <w:szCs w:val="14"/>
                <w:lang w:val="bg-BG"/>
              </w:rPr>
            </w:pPr>
            <w:r w:rsidRPr="00073110">
              <w:rPr>
                <w:sz w:val="12"/>
                <w:szCs w:val="14"/>
                <w:lang w:val="bg-BG"/>
              </w:rPr>
              <w:t>Анализ</w:t>
            </w: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4C0BE3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14D86C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637D7C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75CFD0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564B1D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3066D7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8A1BC6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FC59D4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B2F68D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4D4BA0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FF03B9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E2ABC1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87D923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4604C0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D51C45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4E5497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B4045C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BC0C9B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E06573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44C3FC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C389A7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28B0F9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BE1E27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3B96AB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B408C0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648F1A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76BC9A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D2486D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D55477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BA3489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225ABA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A368F0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A1A520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EC9461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A9188C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C3970F8" w14:textId="77777777" w:rsidR="00343B4D" w:rsidRPr="00073110" w:rsidRDefault="00343B4D" w:rsidP="00026BFB">
            <w:pPr>
              <w:jc w:val="center"/>
              <w:rPr>
                <w:rFonts w:ascii="Verdana" w:hAnsi="Verdana"/>
                <w:color w:val="FF0000"/>
                <w:sz w:val="15"/>
                <w:szCs w:val="15"/>
              </w:rPr>
            </w:pPr>
          </w:p>
        </w:tc>
        <w:tc>
          <w:tcPr>
            <w:tcW w:w="374" w:type="dxa"/>
            <w:vMerge w:val="restart"/>
            <w:tcBorders>
              <w:top w:val="single" w:sz="4" w:space="0" w:color="auto"/>
              <w:left w:val="single" w:sz="4" w:space="0" w:color="auto"/>
              <w:right w:val="single" w:sz="4" w:space="0" w:color="auto"/>
            </w:tcBorders>
            <w:shd w:val="clear" w:color="auto" w:fill="FBE4D5"/>
            <w:textDirection w:val="btLr"/>
            <w:vAlign w:val="center"/>
          </w:tcPr>
          <w:p w14:paraId="62AFADC9" w14:textId="77777777" w:rsidR="00343B4D" w:rsidRPr="00073110" w:rsidRDefault="00343B4D" w:rsidP="00026BFB">
            <w:pPr>
              <w:pStyle w:val="80"/>
              <w:shd w:val="clear" w:color="auto" w:fill="auto"/>
              <w:spacing w:line="240" w:lineRule="auto"/>
              <w:ind w:left="2440"/>
              <w:jc w:val="center"/>
              <w:rPr>
                <w:b/>
                <w:sz w:val="15"/>
                <w:szCs w:val="15"/>
                <w:lang w:val="bg-BG"/>
              </w:rPr>
            </w:pPr>
            <w:r w:rsidRPr="00073110">
              <w:rPr>
                <w:b/>
                <w:sz w:val="15"/>
                <w:szCs w:val="15"/>
                <w:lang w:val="bg-BG"/>
              </w:rPr>
              <w:t>край на прехода</w:t>
            </w:r>
          </w:p>
        </w:tc>
      </w:tr>
      <w:tr w:rsidR="00426D1F" w:rsidRPr="00073110" w14:paraId="2DC31C94" w14:textId="77777777" w:rsidTr="000B7D39">
        <w:trPr>
          <w:trHeight w:val="302"/>
        </w:trPr>
        <w:tc>
          <w:tcPr>
            <w:tcW w:w="270" w:type="dxa"/>
            <w:vMerge/>
            <w:tcBorders>
              <w:left w:val="single" w:sz="4" w:space="0" w:color="auto"/>
              <w:right w:val="single" w:sz="4" w:space="0" w:color="auto"/>
            </w:tcBorders>
            <w:shd w:val="clear" w:color="auto" w:fill="5B9BD5"/>
            <w:vAlign w:val="center"/>
          </w:tcPr>
          <w:p w14:paraId="21635B7E" w14:textId="77777777" w:rsidR="00343B4D" w:rsidRPr="00073110" w:rsidRDefault="00343B4D" w:rsidP="00026BFB">
            <w:pPr>
              <w:jc w:val="center"/>
              <w:rPr>
                <w:rFonts w:ascii="Verdana" w:hAnsi="Verdana"/>
                <w:b/>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7BB9C6A3" w14:textId="77777777" w:rsidR="00343B4D" w:rsidRPr="00073110" w:rsidRDefault="00343B4D" w:rsidP="00026BFB">
            <w:pPr>
              <w:pStyle w:val="1"/>
              <w:shd w:val="clear" w:color="auto" w:fill="auto"/>
              <w:spacing w:line="240" w:lineRule="auto"/>
              <w:ind w:left="80"/>
              <w:rPr>
                <w:sz w:val="12"/>
                <w:szCs w:val="14"/>
                <w:lang w:val="bg-BG"/>
              </w:rPr>
            </w:pPr>
            <w:r w:rsidRPr="00073110">
              <w:rPr>
                <w:sz w:val="12"/>
                <w:szCs w:val="14"/>
                <w:lang w:val="bg-BG"/>
              </w:rPr>
              <w:t>Обучение</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106619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CD99F0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3B61DC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CA1B73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2FE4A8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07D70C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75BB55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448B5E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4773CF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D6A34E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E7C811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9F1AFB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7EDE52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C7BF5E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A96AE9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1B4856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56DF92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6FC7DB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F6F2AC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6C8573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EC7249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8D26FA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C11E3C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55C5D8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37BDC4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1BE756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2AA893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35F07E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FBF0B9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F2CCEE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509C04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222D15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CC4E29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836D19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A127F6B"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22AEFA40" w14:textId="77777777" w:rsidR="00343B4D" w:rsidRPr="00073110" w:rsidRDefault="00343B4D" w:rsidP="00026BFB">
            <w:pPr>
              <w:jc w:val="center"/>
              <w:rPr>
                <w:rFonts w:ascii="Verdana" w:hAnsi="Verdana"/>
                <w:b/>
                <w:sz w:val="15"/>
                <w:szCs w:val="15"/>
              </w:rPr>
            </w:pPr>
          </w:p>
        </w:tc>
      </w:tr>
      <w:tr w:rsidR="00426D1F" w:rsidRPr="00073110" w14:paraId="581E5699" w14:textId="77777777" w:rsidTr="000B7D39">
        <w:trPr>
          <w:trHeight w:val="302"/>
        </w:trPr>
        <w:tc>
          <w:tcPr>
            <w:tcW w:w="270" w:type="dxa"/>
            <w:vMerge/>
            <w:tcBorders>
              <w:left w:val="single" w:sz="4" w:space="0" w:color="auto"/>
              <w:right w:val="single" w:sz="4" w:space="0" w:color="auto"/>
            </w:tcBorders>
            <w:shd w:val="clear" w:color="auto" w:fill="5B9BD5"/>
            <w:vAlign w:val="center"/>
          </w:tcPr>
          <w:p w14:paraId="312C1D81" w14:textId="77777777" w:rsidR="00343B4D" w:rsidRPr="00073110" w:rsidRDefault="00343B4D" w:rsidP="00026BFB">
            <w:pPr>
              <w:jc w:val="center"/>
              <w:rPr>
                <w:rFonts w:ascii="Verdana" w:hAnsi="Verdana"/>
                <w:b/>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04749923" w14:textId="77777777" w:rsidR="00343B4D" w:rsidRPr="00073110" w:rsidRDefault="00343B4D" w:rsidP="00026BFB">
            <w:pPr>
              <w:pStyle w:val="1"/>
              <w:shd w:val="clear" w:color="auto" w:fill="auto"/>
              <w:spacing w:line="240" w:lineRule="auto"/>
              <w:ind w:left="80"/>
              <w:rPr>
                <w:sz w:val="12"/>
                <w:szCs w:val="14"/>
                <w:lang w:val="bg-BG"/>
              </w:rPr>
            </w:pPr>
            <w:r w:rsidRPr="00073110">
              <w:rPr>
                <w:sz w:val="12"/>
                <w:szCs w:val="14"/>
                <w:lang w:val="bg-BG"/>
              </w:rPr>
              <w:t>Промяна в документите</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8237AD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42BE9C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3B59F6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9B0761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1AF94D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7ECF9C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938328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BF7EF1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19D059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3FECA52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488E2E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276471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E91D84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C22177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2EB38F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4F5954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C6BAE8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A149CE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3D36A8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0AADAD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59A587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D41092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308E5E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76976E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402A86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502307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00AD51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A9CED1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13FF46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D90E37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A7365A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810C46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64BE82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917061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351E1A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74B4F3C"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4F2BA323" w14:textId="77777777" w:rsidR="00343B4D" w:rsidRPr="00073110" w:rsidRDefault="00343B4D" w:rsidP="00026BFB">
            <w:pPr>
              <w:jc w:val="center"/>
              <w:rPr>
                <w:rFonts w:ascii="Verdana" w:hAnsi="Verdana"/>
                <w:b/>
                <w:sz w:val="15"/>
                <w:szCs w:val="15"/>
              </w:rPr>
            </w:pPr>
          </w:p>
        </w:tc>
      </w:tr>
      <w:tr w:rsidR="00426D1F" w:rsidRPr="00073110" w14:paraId="7A88CF02" w14:textId="77777777" w:rsidTr="000B7D39">
        <w:trPr>
          <w:trHeight w:val="595"/>
        </w:trPr>
        <w:tc>
          <w:tcPr>
            <w:tcW w:w="270" w:type="dxa"/>
            <w:vMerge/>
            <w:tcBorders>
              <w:left w:val="single" w:sz="4" w:space="0" w:color="auto"/>
              <w:right w:val="single" w:sz="4" w:space="0" w:color="auto"/>
            </w:tcBorders>
            <w:shd w:val="clear" w:color="auto" w:fill="5B9BD5"/>
            <w:vAlign w:val="center"/>
          </w:tcPr>
          <w:p w14:paraId="1EED001A" w14:textId="77777777" w:rsidR="00343B4D" w:rsidRPr="00073110" w:rsidRDefault="00343B4D" w:rsidP="00026BFB">
            <w:pPr>
              <w:jc w:val="center"/>
              <w:rPr>
                <w:rFonts w:ascii="Verdana" w:hAnsi="Verdana"/>
                <w:b/>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0529BB18" w14:textId="77777777" w:rsidR="00343B4D" w:rsidRPr="00073110" w:rsidRDefault="00073110" w:rsidP="00073110">
            <w:pPr>
              <w:pStyle w:val="1"/>
              <w:shd w:val="clear" w:color="auto" w:fill="auto"/>
              <w:ind w:left="80"/>
              <w:rPr>
                <w:sz w:val="12"/>
                <w:szCs w:val="14"/>
              </w:rPr>
            </w:pPr>
            <w:r w:rsidRPr="00073110">
              <w:rPr>
                <w:sz w:val="12"/>
                <w:szCs w:val="14"/>
                <w:lang w:val="bg-BG"/>
              </w:rPr>
              <w:t xml:space="preserve">Извършване на оценки по ISO </w:t>
            </w:r>
            <w:r w:rsidR="00343B4D" w:rsidRPr="00073110">
              <w:rPr>
                <w:sz w:val="12"/>
                <w:szCs w:val="14"/>
                <w:lang w:val="bg-BG"/>
              </w:rPr>
              <w:t>1</w:t>
            </w:r>
            <w:r w:rsidRPr="00073110">
              <w:rPr>
                <w:sz w:val="12"/>
                <w:szCs w:val="14"/>
                <w:lang w:val="bg-BG"/>
              </w:rPr>
              <w:t>5189</w:t>
            </w:r>
            <w:r w:rsidR="00343B4D" w:rsidRPr="00073110">
              <w:rPr>
                <w:sz w:val="12"/>
                <w:szCs w:val="14"/>
                <w:lang w:val="bg-BG"/>
              </w:rPr>
              <w:t>:20</w:t>
            </w:r>
            <w:r w:rsidRPr="00073110">
              <w:rPr>
                <w:sz w:val="12"/>
                <w:szCs w:val="14"/>
                <w:lang w:val="bg-BG"/>
              </w:rPr>
              <w:t>12</w:t>
            </w: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CFB2C6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AE4785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9E874A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5D0BBA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3BB04D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8B4FDB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27691B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9C064A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4E258B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A71926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20B8A2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FBF241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2D7D20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CA25C2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BB6CBD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EB6D85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79738C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F6A380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8F5646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9198BC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414FCC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4325F2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B79DEA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D5F3A9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9581E0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485DF7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ED9E28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7D3D47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489E1D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8AAF44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16A914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05414D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4AFE02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A3741E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4E775C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E9D7AA7"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6A773713" w14:textId="77777777" w:rsidR="00343B4D" w:rsidRPr="00073110" w:rsidRDefault="00343B4D" w:rsidP="00026BFB">
            <w:pPr>
              <w:jc w:val="center"/>
              <w:rPr>
                <w:rFonts w:ascii="Verdana" w:hAnsi="Verdana"/>
                <w:b/>
                <w:sz w:val="15"/>
                <w:szCs w:val="15"/>
              </w:rPr>
            </w:pPr>
          </w:p>
        </w:tc>
      </w:tr>
      <w:tr w:rsidR="00426D1F" w:rsidRPr="00073110" w14:paraId="0AB71202" w14:textId="77777777" w:rsidTr="000B7D39">
        <w:trPr>
          <w:trHeight w:val="648"/>
        </w:trPr>
        <w:tc>
          <w:tcPr>
            <w:tcW w:w="270" w:type="dxa"/>
            <w:vMerge/>
            <w:tcBorders>
              <w:left w:val="single" w:sz="4" w:space="0" w:color="auto"/>
              <w:right w:val="single" w:sz="4" w:space="0" w:color="auto"/>
            </w:tcBorders>
            <w:shd w:val="clear" w:color="auto" w:fill="5B9BD5"/>
            <w:vAlign w:val="center"/>
          </w:tcPr>
          <w:p w14:paraId="6D7A6A46" w14:textId="77777777" w:rsidR="00343B4D" w:rsidRPr="00073110" w:rsidRDefault="00343B4D" w:rsidP="00026BFB">
            <w:pPr>
              <w:jc w:val="center"/>
              <w:rPr>
                <w:rFonts w:ascii="Verdana" w:hAnsi="Verdana"/>
                <w:b/>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0C4BE4A9" w14:textId="77777777" w:rsidR="00343B4D" w:rsidRPr="00073110" w:rsidRDefault="00343B4D" w:rsidP="00026BFB">
            <w:pPr>
              <w:pStyle w:val="1"/>
              <w:shd w:val="clear" w:color="auto" w:fill="auto"/>
              <w:ind w:left="80"/>
              <w:rPr>
                <w:sz w:val="12"/>
                <w:szCs w:val="14"/>
                <w:lang w:val="bg-BG"/>
              </w:rPr>
            </w:pPr>
            <w:r w:rsidRPr="00073110">
              <w:rPr>
                <w:sz w:val="12"/>
                <w:szCs w:val="14"/>
                <w:lang w:val="bg-BG"/>
              </w:rPr>
              <w:t>Извършване на оценки за преход</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68FEA2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A16D44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8DB6AA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497A35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861570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954AA5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018B78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F45BF0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1BDB16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54C9A2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6C3D30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183276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F8B8A4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744F3A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B432A8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AC42C8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2EC1D1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723E49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705B01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041AC3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2787A7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3001CA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658E61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B80315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FF18B6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07ED6F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D09EA6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071F9A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F83A1A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7DCAA8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785EAD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78FC52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18B2AB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2F31F4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4049ED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04F9904"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38AE1DB9" w14:textId="77777777" w:rsidR="00343B4D" w:rsidRPr="00073110" w:rsidRDefault="00343B4D" w:rsidP="00026BFB">
            <w:pPr>
              <w:jc w:val="center"/>
              <w:rPr>
                <w:rFonts w:ascii="Verdana" w:hAnsi="Verdana"/>
                <w:b/>
                <w:sz w:val="15"/>
                <w:szCs w:val="15"/>
              </w:rPr>
            </w:pPr>
          </w:p>
        </w:tc>
      </w:tr>
      <w:tr w:rsidR="00426D1F" w:rsidRPr="00073110" w14:paraId="43FFFFB6" w14:textId="77777777" w:rsidTr="000B7D39">
        <w:trPr>
          <w:trHeight w:val="648"/>
        </w:trPr>
        <w:tc>
          <w:tcPr>
            <w:tcW w:w="270" w:type="dxa"/>
            <w:vMerge/>
            <w:tcBorders>
              <w:left w:val="single" w:sz="4" w:space="0" w:color="auto"/>
              <w:right w:val="single" w:sz="4" w:space="0" w:color="auto"/>
            </w:tcBorders>
            <w:shd w:val="clear" w:color="auto" w:fill="5B9BD5"/>
            <w:vAlign w:val="center"/>
          </w:tcPr>
          <w:p w14:paraId="2C3A9B5D" w14:textId="77777777" w:rsidR="00343B4D" w:rsidRPr="00073110" w:rsidRDefault="00343B4D" w:rsidP="00026BFB">
            <w:pPr>
              <w:jc w:val="center"/>
              <w:rPr>
                <w:rFonts w:ascii="Verdana" w:hAnsi="Verdana"/>
                <w:b/>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5F6700F2" w14:textId="77777777" w:rsidR="00343B4D" w:rsidRPr="00073110" w:rsidRDefault="00343B4D" w:rsidP="00026BFB">
            <w:pPr>
              <w:pStyle w:val="1"/>
              <w:shd w:val="clear" w:color="auto" w:fill="auto"/>
              <w:ind w:left="80"/>
              <w:rPr>
                <w:sz w:val="12"/>
                <w:szCs w:val="14"/>
              </w:rPr>
            </w:pPr>
            <w:r w:rsidRPr="00073110">
              <w:rPr>
                <w:sz w:val="12"/>
                <w:szCs w:val="14"/>
                <w:lang w:val="bg-BG"/>
              </w:rPr>
              <w:t xml:space="preserve">Извършване на оценки по </w:t>
            </w:r>
            <w:r w:rsidR="00073110" w:rsidRPr="00073110">
              <w:rPr>
                <w:sz w:val="12"/>
                <w:szCs w:val="14"/>
                <w:lang w:val="bg-BG"/>
              </w:rPr>
              <w:t>ISO 15189:2012</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D9C2CA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B6A4D0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81AB6A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3DDF0B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468AAC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E6C1EE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4EB88B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AE8E92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444CBF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E50A96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780A26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CE2064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618B87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D69E78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2E308C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AD43D4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B4023E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6AE8E4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195954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28BDFC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B1527E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5A92C8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61EF05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BF63E1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0BA1E4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F285CB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A7A9B6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CA9534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6ECAAE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06621A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92628E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7FB53C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FCA8FF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9014B2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1ABC90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64C6A3D"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5C946553" w14:textId="77777777" w:rsidR="00343B4D" w:rsidRPr="00073110" w:rsidRDefault="00343B4D" w:rsidP="00026BFB">
            <w:pPr>
              <w:jc w:val="center"/>
              <w:rPr>
                <w:rFonts w:ascii="Verdana" w:hAnsi="Verdana"/>
                <w:b/>
                <w:color w:val="FF0000"/>
                <w:sz w:val="15"/>
                <w:szCs w:val="15"/>
              </w:rPr>
            </w:pPr>
          </w:p>
        </w:tc>
      </w:tr>
      <w:tr w:rsidR="00426D1F" w:rsidRPr="00073110" w14:paraId="1E0167D4" w14:textId="77777777" w:rsidTr="000B7D39">
        <w:trPr>
          <w:trHeight w:val="590"/>
        </w:trPr>
        <w:tc>
          <w:tcPr>
            <w:tcW w:w="270" w:type="dxa"/>
            <w:vMerge/>
            <w:tcBorders>
              <w:left w:val="single" w:sz="4" w:space="0" w:color="auto"/>
              <w:right w:val="single" w:sz="4" w:space="0" w:color="auto"/>
            </w:tcBorders>
            <w:shd w:val="clear" w:color="auto" w:fill="5B9BD5"/>
            <w:vAlign w:val="center"/>
          </w:tcPr>
          <w:p w14:paraId="4F01CBCC" w14:textId="77777777" w:rsidR="00343B4D" w:rsidRPr="00073110" w:rsidRDefault="00343B4D" w:rsidP="00026BFB">
            <w:pPr>
              <w:jc w:val="center"/>
              <w:rPr>
                <w:rFonts w:ascii="Verdana" w:hAnsi="Verdana"/>
                <w:b/>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12F4336B" w14:textId="77777777" w:rsidR="00343B4D" w:rsidRPr="00073110" w:rsidRDefault="00343B4D" w:rsidP="00026BFB">
            <w:pPr>
              <w:pStyle w:val="1"/>
              <w:shd w:val="clear" w:color="auto" w:fill="auto"/>
              <w:spacing w:line="216" w:lineRule="exact"/>
              <w:ind w:left="80"/>
              <w:rPr>
                <w:sz w:val="12"/>
                <w:szCs w:val="14"/>
                <w:lang w:val="bg-BG"/>
              </w:rPr>
            </w:pPr>
            <w:r w:rsidRPr="00073110">
              <w:rPr>
                <w:sz w:val="12"/>
                <w:szCs w:val="14"/>
                <w:lang w:val="bg-BG"/>
              </w:rPr>
              <w:t xml:space="preserve">Открива процедури само по </w:t>
            </w:r>
            <w:r w:rsidR="00073110" w:rsidRPr="00073110">
              <w:rPr>
                <w:sz w:val="12"/>
                <w:szCs w:val="14"/>
                <w:lang w:val="bg-BG"/>
              </w:rPr>
              <w:t>ISO 15189:2022</w:t>
            </w:r>
            <w:r w:rsidRPr="00073110">
              <w:rPr>
                <w:sz w:val="12"/>
                <w:szCs w:val="14"/>
                <w:lang w:val="bg-BG"/>
              </w:rPr>
              <w:t>*</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D654F5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2A16A4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578514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3D234D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242944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F3EE55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AF054D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0F415C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EF419F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5949B5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118BEC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D5A8EE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6286AB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792B6A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27561F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C3CC11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1C7455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4BC4C8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6D1F30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F6413C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D58804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73E17B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420549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75A1CE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713303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62DA29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FC286C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4B9E5C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AB1AAF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CF86FE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1EA47F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3D78E0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F71287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32B443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DE4AEA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090DDB46"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73A1B749" w14:textId="77777777" w:rsidR="00343B4D" w:rsidRPr="00073110" w:rsidRDefault="00343B4D" w:rsidP="00026BFB">
            <w:pPr>
              <w:jc w:val="center"/>
              <w:rPr>
                <w:rFonts w:ascii="Verdana" w:hAnsi="Verdana"/>
                <w:b/>
                <w:color w:val="FF0000"/>
                <w:sz w:val="15"/>
                <w:szCs w:val="15"/>
              </w:rPr>
            </w:pPr>
          </w:p>
        </w:tc>
      </w:tr>
      <w:tr w:rsidR="00426D1F" w:rsidRPr="00073110" w14:paraId="4B6819C5" w14:textId="77777777" w:rsidTr="000B7D39">
        <w:trPr>
          <w:trHeight w:val="653"/>
        </w:trPr>
        <w:tc>
          <w:tcPr>
            <w:tcW w:w="270" w:type="dxa"/>
            <w:vMerge/>
            <w:tcBorders>
              <w:left w:val="single" w:sz="4" w:space="0" w:color="auto"/>
              <w:bottom w:val="single" w:sz="4" w:space="0" w:color="auto"/>
              <w:right w:val="single" w:sz="4" w:space="0" w:color="auto"/>
            </w:tcBorders>
            <w:shd w:val="clear" w:color="auto" w:fill="5B9BD5"/>
            <w:vAlign w:val="center"/>
          </w:tcPr>
          <w:p w14:paraId="36F8F0AE" w14:textId="77777777" w:rsidR="00343B4D" w:rsidRPr="00073110" w:rsidRDefault="00343B4D" w:rsidP="00026BFB">
            <w:pPr>
              <w:jc w:val="center"/>
              <w:rPr>
                <w:rFonts w:ascii="Verdana" w:hAnsi="Verdana"/>
                <w:b/>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073613B0" w14:textId="77777777" w:rsidR="00343B4D" w:rsidRPr="00073110" w:rsidRDefault="00343B4D" w:rsidP="00026BFB">
            <w:pPr>
              <w:pStyle w:val="1"/>
              <w:shd w:val="clear" w:color="auto" w:fill="auto"/>
              <w:ind w:left="80"/>
              <w:rPr>
                <w:sz w:val="12"/>
                <w:szCs w:val="14"/>
              </w:rPr>
            </w:pPr>
            <w:r w:rsidRPr="00073110">
              <w:rPr>
                <w:sz w:val="12"/>
                <w:szCs w:val="14"/>
                <w:lang w:val="bg-BG"/>
              </w:rPr>
              <w:t xml:space="preserve">Предоставя акредитация само по </w:t>
            </w:r>
            <w:r w:rsidR="00073110" w:rsidRPr="00073110">
              <w:rPr>
                <w:sz w:val="12"/>
                <w:szCs w:val="14"/>
                <w:lang w:val="bg-BG"/>
              </w:rPr>
              <w:t>ISO 15189:2022</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09DFD8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81540C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261CB8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CC9182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9B1BAB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2559B4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933030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50816A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2591EB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FFB3DF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48552D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9C81D1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D0F943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9B55AD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D6BD78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D3850E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48569B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D36691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B6AE46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ECA560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35262D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AA6C35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5AA00C3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90245C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73B669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CDB886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4D0C66E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FD582F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D0D202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B9778D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D02E57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232A8DA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328A189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76DD29A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1D9491C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5B9BD5"/>
            <w:vAlign w:val="center"/>
          </w:tcPr>
          <w:p w14:paraId="67A8BD6E"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4F780BC3" w14:textId="77777777" w:rsidR="00343B4D" w:rsidRPr="00073110" w:rsidRDefault="00343B4D" w:rsidP="00026BFB">
            <w:pPr>
              <w:jc w:val="center"/>
              <w:rPr>
                <w:rFonts w:ascii="Verdana" w:hAnsi="Verdana"/>
                <w:color w:val="FF0000"/>
                <w:sz w:val="15"/>
                <w:szCs w:val="15"/>
              </w:rPr>
            </w:pPr>
          </w:p>
        </w:tc>
      </w:tr>
      <w:tr w:rsidR="00426D1F" w:rsidRPr="00073110" w14:paraId="715B48C6" w14:textId="77777777" w:rsidTr="000B7D39">
        <w:trPr>
          <w:trHeight w:val="494"/>
        </w:trPr>
        <w:tc>
          <w:tcPr>
            <w:tcW w:w="270" w:type="dxa"/>
            <w:vMerge w:val="restart"/>
            <w:tcBorders>
              <w:top w:val="single" w:sz="4" w:space="0" w:color="auto"/>
              <w:left w:val="single" w:sz="4" w:space="0" w:color="auto"/>
              <w:right w:val="single" w:sz="4" w:space="0" w:color="auto"/>
            </w:tcBorders>
            <w:shd w:val="clear" w:color="auto" w:fill="70AD47"/>
            <w:textDirection w:val="btLr"/>
            <w:vAlign w:val="center"/>
          </w:tcPr>
          <w:p w14:paraId="73B183EA" w14:textId="77777777" w:rsidR="00343B4D" w:rsidRPr="00073110" w:rsidRDefault="00343B4D" w:rsidP="00026BFB">
            <w:pPr>
              <w:pStyle w:val="20"/>
              <w:shd w:val="clear" w:color="auto" w:fill="auto"/>
              <w:spacing w:line="240" w:lineRule="auto"/>
              <w:ind w:left="120" w:right="113"/>
              <w:jc w:val="center"/>
              <w:rPr>
                <w:b/>
                <w:sz w:val="15"/>
                <w:szCs w:val="15"/>
                <w:lang w:val="bg-BG"/>
              </w:rPr>
            </w:pPr>
            <w:r w:rsidRPr="00073110">
              <w:rPr>
                <w:b/>
                <w:sz w:val="15"/>
                <w:szCs w:val="15"/>
                <w:lang w:val="bg-BG"/>
              </w:rPr>
              <w:t>ОСС</w:t>
            </w: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7C1E90AE" w14:textId="77777777" w:rsidR="00343B4D" w:rsidRPr="00073110" w:rsidRDefault="00343B4D" w:rsidP="00026BFB">
            <w:pPr>
              <w:pStyle w:val="1"/>
              <w:shd w:val="clear" w:color="auto" w:fill="auto"/>
              <w:ind w:left="80"/>
              <w:rPr>
                <w:sz w:val="12"/>
                <w:szCs w:val="14"/>
                <w:lang w:val="bg-BG"/>
              </w:rPr>
            </w:pPr>
            <w:r w:rsidRPr="00073110">
              <w:rPr>
                <w:sz w:val="12"/>
                <w:szCs w:val="14"/>
                <w:lang w:val="bg-BG"/>
              </w:rPr>
              <w:t>Анализ и предоставяне на план за преход в БСА</w:t>
            </w: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3BA159F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38057B8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5619EB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D13ED0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10786DF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71EBF4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19D8D0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438AEF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D9C4C8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031F13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6FF16E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31E92E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6F6A13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E9352E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4DF7FC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D356FF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615814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20CF76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67CF5C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2ECA8D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C15C44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A189E6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D81CCD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79CB59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1EE448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CC6F7F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824405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1C5002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DA3BB0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D49B8E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0466D5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8DCDDF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C3C649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3EC95A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6351CF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EA57457"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2C6D1F6C" w14:textId="77777777" w:rsidR="00343B4D" w:rsidRPr="00073110" w:rsidRDefault="00343B4D" w:rsidP="00026BFB">
            <w:pPr>
              <w:jc w:val="center"/>
              <w:rPr>
                <w:rFonts w:ascii="Verdana" w:hAnsi="Verdana"/>
                <w:color w:val="FF0000"/>
                <w:sz w:val="15"/>
                <w:szCs w:val="15"/>
              </w:rPr>
            </w:pPr>
          </w:p>
        </w:tc>
      </w:tr>
      <w:tr w:rsidR="00426D1F" w:rsidRPr="00073110" w14:paraId="3DEE23BC" w14:textId="77777777" w:rsidTr="000B7D39">
        <w:trPr>
          <w:trHeight w:val="859"/>
        </w:trPr>
        <w:tc>
          <w:tcPr>
            <w:tcW w:w="270" w:type="dxa"/>
            <w:vMerge/>
            <w:tcBorders>
              <w:left w:val="single" w:sz="4" w:space="0" w:color="auto"/>
              <w:right w:val="single" w:sz="4" w:space="0" w:color="auto"/>
            </w:tcBorders>
            <w:shd w:val="clear" w:color="auto" w:fill="70AD47"/>
            <w:vAlign w:val="center"/>
          </w:tcPr>
          <w:p w14:paraId="5603CC43" w14:textId="77777777" w:rsidR="00343B4D" w:rsidRPr="00073110" w:rsidRDefault="00343B4D" w:rsidP="00026BFB">
            <w:pPr>
              <w:jc w:val="center"/>
              <w:rPr>
                <w:rFonts w:ascii="Verdana" w:hAnsi="Verdana"/>
                <w:color w:val="FF0000"/>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6AC01BC0" w14:textId="77777777" w:rsidR="00343B4D" w:rsidRPr="00073110" w:rsidRDefault="00343B4D" w:rsidP="00026BFB">
            <w:pPr>
              <w:pStyle w:val="1"/>
              <w:shd w:val="clear" w:color="auto" w:fill="auto"/>
              <w:ind w:left="80"/>
              <w:rPr>
                <w:sz w:val="12"/>
                <w:szCs w:val="14"/>
                <w:lang w:val="bg-BG"/>
              </w:rPr>
            </w:pPr>
            <w:r w:rsidRPr="00073110">
              <w:rPr>
                <w:sz w:val="12"/>
                <w:szCs w:val="14"/>
                <w:lang w:val="bg-BG"/>
              </w:rPr>
              <w:t xml:space="preserve">Привежда системата си в съответствие с </w:t>
            </w:r>
            <w:r w:rsidR="00073110" w:rsidRPr="00073110">
              <w:rPr>
                <w:sz w:val="12"/>
                <w:szCs w:val="14"/>
                <w:lang w:val="bg-BG"/>
              </w:rPr>
              <w:t>ISO 15189:2022</w:t>
            </w:r>
            <w:r w:rsidRPr="00073110">
              <w:rPr>
                <w:sz w:val="12"/>
                <w:szCs w:val="14"/>
                <w:lang w:val="bg-BG"/>
              </w:rPr>
              <w:t xml:space="preserve"> и обявява готовност пред ИА БСА</w:t>
            </w: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66F586C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440DEC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7AE771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B1C8E0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1182153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675858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259040A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2A0CC10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656D1A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0BB6143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63334BD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1F05AB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CD58E8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7CA902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109660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09C4BC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712CE7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3788145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A80DDF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CCF30F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395E8B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90D99C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9D17DA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4CF1E86"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8D3026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20EF4E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72D69F4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EA8702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0EE4806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F1E0A1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E76E48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22B1CB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AF8649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6375709"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412C2D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ECAAD3E"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right w:val="single" w:sz="4" w:space="0" w:color="auto"/>
            </w:tcBorders>
            <w:shd w:val="clear" w:color="auto" w:fill="FBE4D5"/>
            <w:textDirection w:val="btLr"/>
            <w:vAlign w:val="center"/>
          </w:tcPr>
          <w:p w14:paraId="00650143" w14:textId="77777777" w:rsidR="00343B4D" w:rsidRPr="00073110" w:rsidRDefault="00343B4D" w:rsidP="00026BFB">
            <w:pPr>
              <w:jc w:val="center"/>
              <w:rPr>
                <w:rFonts w:ascii="Verdana" w:hAnsi="Verdana"/>
                <w:color w:val="FF0000"/>
                <w:sz w:val="15"/>
                <w:szCs w:val="15"/>
              </w:rPr>
            </w:pPr>
          </w:p>
        </w:tc>
      </w:tr>
      <w:tr w:rsidR="00426D1F" w:rsidRPr="00073110" w14:paraId="1D303B3A" w14:textId="77777777" w:rsidTr="000B7D39">
        <w:trPr>
          <w:trHeight w:val="864"/>
        </w:trPr>
        <w:tc>
          <w:tcPr>
            <w:tcW w:w="270" w:type="dxa"/>
            <w:vMerge/>
            <w:tcBorders>
              <w:left w:val="single" w:sz="4" w:space="0" w:color="auto"/>
              <w:bottom w:val="single" w:sz="4" w:space="0" w:color="auto"/>
              <w:right w:val="single" w:sz="4" w:space="0" w:color="auto"/>
            </w:tcBorders>
            <w:shd w:val="clear" w:color="auto" w:fill="70AD47"/>
            <w:vAlign w:val="center"/>
          </w:tcPr>
          <w:p w14:paraId="73DDA635" w14:textId="77777777" w:rsidR="00343B4D" w:rsidRPr="00073110" w:rsidRDefault="00343B4D" w:rsidP="00026BFB">
            <w:pPr>
              <w:jc w:val="center"/>
              <w:rPr>
                <w:rFonts w:ascii="Verdana" w:hAnsi="Verdana"/>
                <w:color w:val="FF0000"/>
                <w:sz w:val="15"/>
                <w:szCs w:val="15"/>
              </w:rPr>
            </w:pPr>
          </w:p>
        </w:tc>
        <w:tc>
          <w:tcPr>
            <w:tcW w:w="1520" w:type="dxa"/>
            <w:tcBorders>
              <w:top w:val="single" w:sz="4" w:space="0" w:color="auto"/>
              <w:left w:val="single" w:sz="4" w:space="0" w:color="auto"/>
              <w:bottom w:val="single" w:sz="4" w:space="0" w:color="auto"/>
              <w:right w:val="single" w:sz="4" w:space="0" w:color="auto"/>
            </w:tcBorders>
            <w:shd w:val="clear" w:color="auto" w:fill="F2F2F2"/>
            <w:vAlign w:val="center"/>
          </w:tcPr>
          <w:p w14:paraId="193E2F59" w14:textId="77777777" w:rsidR="00343B4D" w:rsidRPr="00073110" w:rsidRDefault="00343B4D" w:rsidP="00026BFB">
            <w:pPr>
              <w:pStyle w:val="1"/>
              <w:shd w:val="clear" w:color="auto" w:fill="auto"/>
              <w:ind w:left="80"/>
              <w:rPr>
                <w:sz w:val="12"/>
                <w:szCs w:val="14"/>
                <w:lang w:val="bg-BG"/>
              </w:rPr>
            </w:pPr>
            <w:r w:rsidRPr="00073110">
              <w:rPr>
                <w:sz w:val="12"/>
                <w:szCs w:val="14"/>
                <w:lang w:val="bg-BG"/>
              </w:rPr>
              <w:t xml:space="preserve">Закриване на несъответствия по </w:t>
            </w:r>
            <w:r w:rsidR="00073110" w:rsidRPr="00073110">
              <w:rPr>
                <w:sz w:val="12"/>
                <w:szCs w:val="14"/>
                <w:lang w:val="bg-BG"/>
              </w:rPr>
              <w:t>ISO 15189:2022</w:t>
            </w:r>
            <w:r w:rsidRPr="00073110">
              <w:rPr>
                <w:sz w:val="12"/>
                <w:szCs w:val="14"/>
                <w:lang w:val="bg-BG"/>
              </w:rPr>
              <w:t xml:space="preserve"> и докладване в ИА БСА</w:t>
            </w: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01AB38FC"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20B5D23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A4F854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57B966E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EACE7C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A45C5C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1C0DAD3"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0E97BCB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6E2EF62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1AA6B2F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082CF54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3FCA006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37D587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3AB69A4D"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0A4A5F1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622F4E32"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BD7C7A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301241C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7735F44"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301A8EF8"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05EB7CB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361C29E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1818B2A"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11C4C63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44F40A0F"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6132CD7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5025820"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75FBBF67"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55EAD551"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2D066ADB"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70AD47"/>
            <w:vAlign w:val="center"/>
          </w:tcPr>
          <w:p w14:paraId="6A3E12A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6A5E41E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D12D4F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681F635"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2CF123E" w14:textId="77777777" w:rsidR="00343B4D" w:rsidRPr="00073110" w:rsidRDefault="00343B4D" w:rsidP="00026BFB">
            <w:pPr>
              <w:jc w:val="center"/>
              <w:rPr>
                <w:rFonts w:ascii="Verdana" w:hAnsi="Verdana"/>
                <w:color w:val="FF0000"/>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CFB96D6" w14:textId="77777777" w:rsidR="00343B4D" w:rsidRPr="00073110" w:rsidRDefault="00343B4D" w:rsidP="00026BFB">
            <w:pPr>
              <w:jc w:val="center"/>
              <w:rPr>
                <w:rFonts w:ascii="Verdana" w:hAnsi="Verdana"/>
                <w:color w:val="FF0000"/>
                <w:sz w:val="15"/>
                <w:szCs w:val="15"/>
              </w:rPr>
            </w:pPr>
          </w:p>
        </w:tc>
        <w:tc>
          <w:tcPr>
            <w:tcW w:w="374" w:type="dxa"/>
            <w:vMerge/>
            <w:tcBorders>
              <w:left w:val="single" w:sz="4" w:space="0" w:color="auto"/>
              <w:bottom w:val="single" w:sz="4" w:space="0" w:color="auto"/>
              <w:right w:val="single" w:sz="4" w:space="0" w:color="auto"/>
            </w:tcBorders>
            <w:shd w:val="clear" w:color="auto" w:fill="FBE4D5"/>
            <w:textDirection w:val="btLr"/>
            <w:vAlign w:val="center"/>
          </w:tcPr>
          <w:p w14:paraId="4AD66011" w14:textId="77777777" w:rsidR="00343B4D" w:rsidRPr="00073110" w:rsidRDefault="00343B4D" w:rsidP="00026BFB">
            <w:pPr>
              <w:jc w:val="center"/>
              <w:rPr>
                <w:rFonts w:ascii="Verdana" w:hAnsi="Verdana"/>
                <w:color w:val="FF0000"/>
                <w:sz w:val="15"/>
                <w:szCs w:val="15"/>
              </w:rPr>
            </w:pPr>
          </w:p>
        </w:tc>
      </w:tr>
    </w:tbl>
    <w:p w14:paraId="5E5CEBBF" w14:textId="77777777" w:rsidR="00343B4D" w:rsidRPr="00073110" w:rsidRDefault="00343B4D" w:rsidP="00343B4D">
      <w:pPr>
        <w:pStyle w:val="60"/>
        <w:shd w:val="clear" w:color="auto" w:fill="auto"/>
        <w:spacing w:before="0" w:line="130" w:lineRule="exact"/>
        <w:ind w:left="240"/>
        <w:jc w:val="left"/>
        <w:rPr>
          <w:color w:val="FF0000"/>
          <w:sz w:val="16"/>
          <w:szCs w:val="16"/>
          <w:lang w:val="bg-BG"/>
        </w:rPr>
      </w:pPr>
    </w:p>
    <w:p w14:paraId="2DCCE9C3" w14:textId="77777777" w:rsidR="00343B4D" w:rsidRPr="00073110" w:rsidRDefault="00343B4D" w:rsidP="00343B4D">
      <w:pPr>
        <w:pStyle w:val="60"/>
        <w:shd w:val="clear" w:color="auto" w:fill="auto"/>
        <w:spacing w:before="0" w:line="130" w:lineRule="exact"/>
        <w:jc w:val="left"/>
        <w:rPr>
          <w:b/>
          <w:color w:val="FF0000"/>
          <w:sz w:val="18"/>
          <w:szCs w:val="18"/>
          <w:lang w:val="bg-BG"/>
        </w:rPr>
      </w:pPr>
    </w:p>
    <w:p w14:paraId="29309C7B" w14:textId="77777777" w:rsidR="00343B4D" w:rsidRPr="00073110" w:rsidRDefault="00343B4D" w:rsidP="00343B4D">
      <w:pPr>
        <w:pStyle w:val="60"/>
        <w:shd w:val="clear" w:color="auto" w:fill="auto"/>
        <w:spacing w:before="0" w:line="170" w:lineRule="exact"/>
        <w:ind w:left="144"/>
        <w:jc w:val="left"/>
        <w:rPr>
          <w:b/>
          <w:color w:val="FF0000"/>
          <w:sz w:val="18"/>
          <w:szCs w:val="18"/>
          <w:lang w:val="bg-BG"/>
        </w:rPr>
      </w:pPr>
    </w:p>
    <w:p w14:paraId="48EFEED4" w14:textId="77777777" w:rsidR="00343B4D" w:rsidRPr="00073110" w:rsidRDefault="00343B4D" w:rsidP="00343B4D">
      <w:pPr>
        <w:pStyle w:val="60"/>
        <w:shd w:val="clear" w:color="auto" w:fill="auto"/>
        <w:spacing w:before="0" w:line="170" w:lineRule="exact"/>
        <w:ind w:left="144"/>
        <w:jc w:val="left"/>
        <w:rPr>
          <w:b/>
          <w:sz w:val="18"/>
          <w:szCs w:val="18"/>
          <w:lang w:val="bg-BG"/>
        </w:rPr>
      </w:pPr>
      <w:r w:rsidRPr="00073110">
        <w:rPr>
          <w:b/>
          <w:sz w:val="18"/>
          <w:szCs w:val="18"/>
          <w:lang w:val="bg-BG"/>
        </w:rPr>
        <w:t>* В процеса на извършване на процедурите по акредитация/</w:t>
      </w:r>
      <w:proofErr w:type="spellStart"/>
      <w:r w:rsidRPr="00073110">
        <w:rPr>
          <w:b/>
          <w:sz w:val="18"/>
          <w:szCs w:val="18"/>
          <w:lang w:val="bg-BG"/>
        </w:rPr>
        <w:t>преакредитация</w:t>
      </w:r>
      <w:proofErr w:type="spellEnd"/>
      <w:r w:rsidRPr="00073110">
        <w:rPr>
          <w:b/>
          <w:sz w:val="18"/>
          <w:szCs w:val="18"/>
          <w:lang w:val="bg-BG"/>
        </w:rPr>
        <w:t xml:space="preserve"> ОСС може да заяви готовност за извършване на оценка </w:t>
      </w:r>
    </w:p>
    <w:p w14:paraId="37AA142E" w14:textId="77777777" w:rsidR="00343B4D" w:rsidRPr="00073110" w:rsidRDefault="00343B4D" w:rsidP="00343B4D">
      <w:pPr>
        <w:pStyle w:val="60"/>
        <w:shd w:val="clear" w:color="auto" w:fill="auto"/>
        <w:spacing w:before="0" w:line="170" w:lineRule="exact"/>
        <w:ind w:left="144"/>
        <w:jc w:val="left"/>
        <w:rPr>
          <w:b/>
          <w:sz w:val="18"/>
          <w:szCs w:val="18"/>
          <w:lang w:val="bg-BG"/>
        </w:rPr>
      </w:pPr>
    </w:p>
    <w:p w14:paraId="12D50866" w14:textId="77777777" w:rsidR="00343B4D" w:rsidRPr="00073110" w:rsidRDefault="00343B4D" w:rsidP="00343B4D">
      <w:pPr>
        <w:pStyle w:val="60"/>
        <w:shd w:val="clear" w:color="auto" w:fill="auto"/>
        <w:spacing w:before="0" w:line="170" w:lineRule="exact"/>
        <w:ind w:left="144"/>
        <w:jc w:val="left"/>
        <w:rPr>
          <w:b/>
          <w:sz w:val="18"/>
          <w:szCs w:val="18"/>
          <w:lang w:val="bg-BG"/>
        </w:rPr>
      </w:pPr>
      <w:r w:rsidRPr="00073110">
        <w:rPr>
          <w:b/>
          <w:sz w:val="18"/>
          <w:szCs w:val="18"/>
          <w:lang w:val="bg-BG"/>
        </w:rPr>
        <w:t xml:space="preserve">по </w:t>
      </w:r>
      <w:r w:rsidR="00073110" w:rsidRPr="00073110">
        <w:rPr>
          <w:b/>
          <w:sz w:val="18"/>
          <w:szCs w:val="18"/>
        </w:rPr>
        <w:t xml:space="preserve">ISO </w:t>
      </w:r>
      <w:r w:rsidR="00073110" w:rsidRPr="00073110">
        <w:rPr>
          <w:b/>
          <w:sz w:val="18"/>
          <w:szCs w:val="18"/>
          <w:lang w:val="bg-BG"/>
        </w:rPr>
        <w:t>15189:2022</w:t>
      </w:r>
    </w:p>
    <w:sectPr w:rsidR="00343B4D" w:rsidRPr="00073110" w:rsidSect="00026BFB">
      <w:type w:val="continuous"/>
      <w:pgSz w:w="16837" w:h="11905" w:orient="landscape"/>
      <w:pgMar w:top="925" w:right="720" w:bottom="180" w:left="18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64BE" w14:textId="77777777" w:rsidR="007E6E02" w:rsidRDefault="007E6E02" w:rsidP="00481DC8">
      <w:r>
        <w:separator/>
      </w:r>
    </w:p>
  </w:endnote>
  <w:endnote w:type="continuationSeparator" w:id="0">
    <w:p w14:paraId="4B233293" w14:textId="77777777" w:rsidR="007E6E02" w:rsidRDefault="007E6E02" w:rsidP="004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B7C2" w14:textId="77777777" w:rsidR="00C61170" w:rsidRPr="00C61170" w:rsidRDefault="00C61170">
    <w:pPr>
      <w:pStyle w:val="Footer"/>
      <w:jc w:val="right"/>
      <w:rPr>
        <w:rFonts w:ascii="Verdana" w:hAnsi="Verdana"/>
        <w:sz w:val="16"/>
        <w:szCs w:val="16"/>
      </w:rPr>
    </w:pPr>
    <w:r w:rsidRPr="00C61170">
      <w:rPr>
        <w:rFonts w:ascii="Verdana" w:hAnsi="Verdana"/>
        <w:sz w:val="16"/>
        <w:szCs w:val="16"/>
        <w:lang w:val="bg-BG"/>
      </w:rPr>
      <w:t>Стр</w:t>
    </w:r>
    <w:r>
      <w:rPr>
        <w:rFonts w:ascii="Verdana" w:hAnsi="Verdana"/>
        <w:sz w:val="16"/>
        <w:szCs w:val="16"/>
        <w:lang w:val="bg-BG"/>
      </w:rPr>
      <w:t>.</w:t>
    </w:r>
    <w:r w:rsidRPr="00C61170">
      <w:rPr>
        <w:rFonts w:ascii="Verdana" w:hAnsi="Verdana"/>
        <w:sz w:val="16"/>
        <w:szCs w:val="16"/>
      </w:rPr>
      <w:t xml:space="preserve"> </w:t>
    </w:r>
    <w:r w:rsidRPr="00C61170">
      <w:rPr>
        <w:rFonts w:ascii="Verdana" w:hAnsi="Verdana"/>
        <w:bCs/>
        <w:sz w:val="16"/>
        <w:szCs w:val="16"/>
      </w:rPr>
      <w:fldChar w:fldCharType="begin"/>
    </w:r>
    <w:r w:rsidRPr="00C61170">
      <w:rPr>
        <w:rFonts w:ascii="Verdana" w:hAnsi="Verdana"/>
        <w:bCs/>
        <w:sz w:val="16"/>
        <w:szCs w:val="16"/>
      </w:rPr>
      <w:instrText xml:space="preserve"> PAGE </w:instrText>
    </w:r>
    <w:r w:rsidRPr="00C61170">
      <w:rPr>
        <w:rFonts w:ascii="Verdana" w:hAnsi="Verdana"/>
        <w:bCs/>
        <w:sz w:val="16"/>
        <w:szCs w:val="16"/>
      </w:rPr>
      <w:fldChar w:fldCharType="separate"/>
    </w:r>
    <w:r w:rsidR="004E5C97">
      <w:rPr>
        <w:rFonts w:ascii="Verdana" w:hAnsi="Verdana"/>
        <w:bCs/>
        <w:noProof/>
        <w:sz w:val="16"/>
        <w:szCs w:val="16"/>
      </w:rPr>
      <w:t>4</w:t>
    </w:r>
    <w:r w:rsidRPr="00C61170">
      <w:rPr>
        <w:rFonts w:ascii="Verdana" w:hAnsi="Verdana"/>
        <w:bCs/>
        <w:sz w:val="16"/>
        <w:szCs w:val="16"/>
      </w:rPr>
      <w:fldChar w:fldCharType="end"/>
    </w:r>
    <w:r w:rsidRPr="00C61170">
      <w:rPr>
        <w:rFonts w:ascii="Verdana" w:hAnsi="Verdana"/>
        <w:sz w:val="16"/>
        <w:szCs w:val="16"/>
      </w:rPr>
      <w:t xml:space="preserve"> </w:t>
    </w:r>
    <w:r w:rsidRPr="00C61170">
      <w:rPr>
        <w:rFonts w:ascii="Verdana" w:hAnsi="Verdana"/>
        <w:sz w:val="16"/>
        <w:szCs w:val="16"/>
        <w:lang w:val="bg-BG"/>
      </w:rPr>
      <w:t>от</w:t>
    </w:r>
    <w:r w:rsidRPr="00C61170">
      <w:rPr>
        <w:rFonts w:ascii="Verdana" w:hAnsi="Verdana"/>
        <w:sz w:val="16"/>
        <w:szCs w:val="16"/>
      </w:rPr>
      <w:t xml:space="preserve"> </w:t>
    </w:r>
    <w:r w:rsidRPr="00C61170">
      <w:rPr>
        <w:rFonts w:ascii="Verdana" w:hAnsi="Verdana"/>
        <w:bCs/>
        <w:sz w:val="16"/>
        <w:szCs w:val="16"/>
      </w:rPr>
      <w:fldChar w:fldCharType="begin"/>
    </w:r>
    <w:r w:rsidRPr="00C61170">
      <w:rPr>
        <w:rFonts w:ascii="Verdana" w:hAnsi="Verdana"/>
        <w:bCs/>
        <w:sz w:val="16"/>
        <w:szCs w:val="16"/>
      </w:rPr>
      <w:instrText xml:space="preserve"> NUMPAGES  </w:instrText>
    </w:r>
    <w:r w:rsidRPr="00C61170">
      <w:rPr>
        <w:rFonts w:ascii="Verdana" w:hAnsi="Verdana"/>
        <w:bCs/>
        <w:sz w:val="16"/>
        <w:szCs w:val="16"/>
      </w:rPr>
      <w:fldChar w:fldCharType="separate"/>
    </w:r>
    <w:r w:rsidR="004E5C97">
      <w:rPr>
        <w:rFonts w:ascii="Verdana" w:hAnsi="Verdana"/>
        <w:bCs/>
        <w:noProof/>
        <w:sz w:val="16"/>
        <w:szCs w:val="16"/>
      </w:rPr>
      <w:t>5</w:t>
    </w:r>
    <w:r w:rsidRPr="00C61170">
      <w:rPr>
        <w:rFonts w:ascii="Verdana" w:hAnsi="Verdana"/>
        <w:bCs/>
        <w:sz w:val="16"/>
        <w:szCs w:val="16"/>
      </w:rPr>
      <w:fldChar w:fldCharType="end"/>
    </w:r>
  </w:p>
  <w:p w14:paraId="5BE17C98" w14:textId="77777777" w:rsidR="00C61170" w:rsidRDefault="00C61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F7E6" w14:textId="77777777" w:rsidR="007E6E02" w:rsidRDefault="007E6E02" w:rsidP="00481DC8">
      <w:r>
        <w:separator/>
      </w:r>
    </w:p>
  </w:footnote>
  <w:footnote w:type="continuationSeparator" w:id="0">
    <w:p w14:paraId="3DBBF729" w14:textId="77777777" w:rsidR="007E6E02" w:rsidRDefault="007E6E02" w:rsidP="0048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30DB"/>
    <w:multiLevelType w:val="hybridMultilevel"/>
    <w:tmpl w:val="466618F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7743"/>
    <w:multiLevelType w:val="hybridMultilevel"/>
    <w:tmpl w:val="83D2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082C"/>
    <w:multiLevelType w:val="hybridMultilevel"/>
    <w:tmpl w:val="F3F2348E"/>
    <w:lvl w:ilvl="0" w:tplc="F920C43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CE0A52"/>
    <w:multiLevelType w:val="hybridMultilevel"/>
    <w:tmpl w:val="833C08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D51C05"/>
    <w:multiLevelType w:val="hybridMultilevel"/>
    <w:tmpl w:val="4B429740"/>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2BEB0086"/>
    <w:multiLevelType w:val="multilevel"/>
    <w:tmpl w:val="5E1857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1D62B11"/>
    <w:multiLevelType w:val="hybridMultilevel"/>
    <w:tmpl w:val="0F4AF93A"/>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40D1908"/>
    <w:multiLevelType w:val="hybridMultilevel"/>
    <w:tmpl w:val="1B527FB8"/>
    <w:lvl w:ilvl="0" w:tplc="4AA4C5C2">
      <w:start w:val="7"/>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9CD0D1B"/>
    <w:multiLevelType w:val="multilevel"/>
    <w:tmpl w:val="DB90CB9A"/>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4BCE6518"/>
    <w:multiLevelType w:val="hybridMultilevel"/>
    <w:tmpl w:val="B276D312"/>
    <w:lvl w:ilvl="0" w:tplc="B816A38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004824"/>
    <w:multiLevelType w:val="hybridMultilevel"/>
    <w:tmpl w:val="5E44E56C"/>
    <w:lvl w:ilvl="0" w:tplc="8C284B8A">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03FF2"/>
    <w:multiLevelType w:val="hybridMultilevel"/>
    <w:tmpl w:val="B5FE52A8"/>
    <w:lvl w:ilvl="0" w:tplc="403E08A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29E24B7"/>
    <w:multiLevelType w:val="multilevel"/>
    <w:tmpl w:val="921A8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01D29"/>
    <w:multiLevelType w:val="hybridMultilevel"/>
    <w:tmpl w:val="7F5EB174"/>
    <w:lvl w:ilvl="0" w:tplc="0402000F">
      <w:start w:val="1"/>
      <w:numFmt w:val="decimal"/>
      <w:lvlText w:val="%1."/>
      <w:lvlJc w:val="left"/>
      <w:pPr>
        <w:tabs>
          <w:tab w:val="num" w:pos="720"/>
        </w:tabs>
        <w:ind w:left="720" w:hanging="360"/>
      </w:pPr>
      <w:rPr>
        <w:rFont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5053F"/>
    <w:multiLevelType w:val="hybridMultilevel"/>
    <w:tmpl w:val="9780AE50"/>
    <w:lvl w:ilvl="0" w:tplc="A4784236">
      <w:start w:val="1"/>
      <w:numFmt w:val="decimal"/>
      <w:lvlText w:val="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904412159">
    <w:abstractNumId w:val="13"/>
  </w:num>
  <w:num w:numId="2" w16cid:durableId="1012301385">
    <w:abstractNumId w:val="4"/>
  </w:num>
  <w:num w:numId="3" w16cid:durableId="2101094704">
    <w:abstractNumId w:val="12"/>
  </w:num>
  <w:num w:numId="4" w16cid:durableId="1581597258">
    <w:abstractNumId w:val="5"/>
  </w:num>
  <w:num w:numId="5" w16cid:durableId="1641305436">
    <w:abstractNumId w:val="0"/>
  </w:num>
  <w:num w:numId="6" w16cid:durableId="1662847653">
    <w:abstractNumId w:val="2"/>
  </w:num>
  <w:num w:numId="7" w16cid:durableId="53549808">
    <w:abstractNumId w:val="8"/>
  </w:num>
  <w:num w:numId="8" w16cid:durableId="271060467">
    <w:abstractNumId w:val="6"/>
  </w:num>
  <w:num w:numId="9" w16cid:durableId="1402679716">
    <w:abstractNumId w:val="7"/>
  </w:num>
  <w:num w:numId="10" w16cid:durableId="630788738">
    <w:abstractNumId w:val="1"/>
  </w:num>
  <w:num w:numId="11" w16cid:durableId="879362294">
    <w:abstractNumId w:val="10"/>
  </w:num>
  <w:num w:numId="12" w16cid:durableId="239097315">
    <w:abstractNumId w:val="9"/>
  </w:num>
  <w:num w:numId="13" w16cid:durableId="677118879">
    <w:abstractNumId w:val="3"/>
  </w:num>
  <w:num w:numId="14" w16cid:durableId="166093653">
    <w:abstractNumId w:val="14"/>
  </w:num>
  <w:num w:numId="15" w16cid:durableId="1931771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C0"/>
    <w:rsid w:val="00015420"/>
    <w:rsid w:val="00016D96"/>
    <w:rsid w:val="00021486"/>
    <w:rsid w:val="00026BFB"/>
    <w:rsid w:val="00032A36"/>
    <w:rsid w:val="000368E9"/>
    <w:rsid w:val="00060593"/>
    <w:rsid w:val="00073110"/>
    <w:rsid w:val="000B6392"/>
    <w:rsid w:val="000B7D39"/>
    <w:rsid w:val="000D04D9"/>
    <w:rsid w:val="000D58DA"/>
    <w:rsid w:val="000E3AFA"/>
    <w:rsid w:val="000E3B98"/>
    <w:rsid w:val="000E53EB"/>
    <w:rsid w:val="001078DE"/>
    <w:rsid w:val="00112C29"/>
    <w:rsid w:val="0011629A"/>
    <w:rsid w:val="0012111E"/>
    <w:rsid w:val="00150E2C"/>
    <w:rsid w:val="0017056C"/>
    <w:rsid w:val="00180695"/>
    <w:rsid w:val="00183CFE"/>
    <w:rsid w:val="00184214"/>
    <w:rsid w:val="00187FFD"/>
    <w:rsid w:val="001914CE"/>
    <w:rsid w:val="001939C6"/>
    <w:rsid w:val="001946B7"/>
    <w:rsid w:val="00195C3B"/>
    <w:rsid w:val="001B2ADB"/>
    <w:rsid w:val="001B5249"/>
    <w:rsid w:val="001D2FD0"/>
    <w:rsid w:val="001D4695"/>
    <w:rsid w:val="0021296E"/>
    <w:rsid w:val="00216C75"/>
    <w:rsid w:val="00217DAA"/>
    <w:rsid w:val="00222CE3"/>
    <w:rsid w:val="00266439"/>
    <w:rsid w:val="002763C0"/>
    <w:rsid w:val="002829EA"/>
    <w:rsid w:val="0029704A"/>
    <w:rsid w:val="002A29FE"/>
    <w:rsid w:val="002A7B38"/>
    <w:rsid w:val="002C3516"/>
    <w:rsid w:val="002E1035"/>
    <w:rsid w:val="002F58F0"/>
    <w:rsid w:val="002F764C"/>
    <w:rsid w:val="00321557"/>
    <w:rsid w:val="0033591B"/>
    <w:rsid w:val="00343B4D"/>
    <w:rsid w:val="00366AF8"/>
    <w:rsid w:val="00384950"/>
    <w:rsid w:val="00394022"/>
    <w:rsid w:val="00397B90"/>
    <w:rsid w:val="003A354F"/>
    <w:rsid w:val="003C66C0"/>
    <w:rsid w:val="003D44B6"/>
    <w:rsid w:val="003D6FA3"/>
    <w:rsid w:val="003D76D8"/>
    <w:rsid w:val="003E2BA2"/>
    <w:rsid w:val="003F389A"/>
    <w:rsid w:val="004018C3"/>
    <w:rsid w:val="004058C9"/>
    <w:rsid w:val="0041152D"/>
    <w:rsid w:val="004221D2"/>
    <w:rsid w:val="00426D1F"/>
    <w:rsid w:val="004400F2"/>
    <w:rsid w:val="004404DF"/>
    <w:rsid w:val="00450A78"/>
    <w:rsid w:val="00460883"/>
    <w:rsid w:val="004678B0"/>
    <w:rsid w:val="0047134F"/>
    <w:rsid w:val="00481DC8"/>
    <w:rsid w:val="004A4CFF"/>
    <w:rsid w:val="004B3B5E"/>
    <w:rsid w:val="004D2EB4"/>
    <w:rsid w:val="004E3EA2"/>
    <w:rsid w:val="004E5C97"/>
    <w:rsid w:val="004F7B88"/>
    <w:rsid w:val="004F7CAA"/>
    <w:rsid w:val="005025EB"/>
    <w:rsid w:val="00506DC8"/>
    <w:rsid w:val="00510B0C"/>
    <w:rsid w:val="00520712"/>
    <w:rsid w:val="00545789"/>
    <w:rsid w:val="00555572"/>
    <w:rsid w:val="0056556F"/>
    <w:rsid w:val="00565A81"/>
    <w:rsid w:val="00566C3C"/>
    <w:rsid w:val="00584278"/>
    <w:rsid w:val="00585CD2"/>
    <w:rsid w:val="005907A9"/>
    <w:rsid w:val="005B0681"/>
    <w:rsid w:val="005B2B68"/>
    <w:rsid w:val="005C4DED"/>
    <w:rsid w:val="005D1AE5"/>
    <w:rsid w:val="005E2CA7"/>
    <w:rsid w:val="005E609B"/>
    <w:rsid w:val="00601C37"/>
    <w:rsid w:val="006104D9"/>
    <w:rsid w:val="00613B5D"/>
    <w:rsid w:val="00634FE3"/>
    <w:rsid w:val="0064127A"/>
    <w:rsid w:val="0064763B"/>
    <w:rsid w:val="00665180"/>
    <w:rsid w:val="0069494F"/>
    <w:rsid w:val="006A215F"/>
    <w:rsid w:val="006A7D4F"/>
    <w:rsid w:val="006B41CE"/>
    <w:rsid w:val="006C2FAB"/>
    <w:rsid w:val="006C7E02"/>
    <w:rsid w:val="006D0E66"/>
    <w:rsid w:val="006F420A"/>
    <w:rsid w:val="006F75FB"/>
    <w:rsid w:val="00723F9D"/>
    <w:rsid w:val="007303A9"/>
    <w:rsid w:val="007306D0"/>
    <w:rsid w:val="007421A8"/>
    <w:rsid w:val="00747C37"/>
    <w:rsid w:val="007559C5"/>
    <w:rsid w:val="00770F09"/>
    <w:rsid w:val="0079479E"/>
    <w:rsid w:val="007A5AD2"/>
    <w:rsid w:val="007C26FE"/>
    <w:rsid w:val="007C78F5"/>
    <w:rsid w:val="007E566F"/>
    <w:rsid w:val="007E6E02"/>
    <w:rsid w:val="007F493B"/>
    <w:rsid w:val="00812F3C"/>
    <w:rsid w:val="008411B8"/>
    <w:rsid w:val="008503A9"/>
    <w:rsid w:val="00855631"/>
    <w:rsid w:val="00856395"/>
    <w:rsid w:val="00865F1E"/>
    <w:rsid w:val="00876B4A"/>
    <w:rsid w:val="00893DA4"/>
    <w:rsid w:val="008955AA"/>
    <w:rsid w:val="00897D0A"/>
    <w:rsid w:val="008A16AB"/>
    <w:rsid w:val="008D516D"/>
    <w:rsid w:val="008E3815"/>
    <w:rsid w:val="008E7DE8"/>
    <w:rsid w:val="008F2E76"/>
    <w:rsid w:val="008F328C"/>
    <w:rsid w:val="00900B58"/>
    <w:rsid w:val="00904FD6"/>
    <w:rsid w:val="00922D1A"/>
    <w:rsid w:val="009336CF"/>
    <w:rsid w:val="00933A1C"/>
    <w:rsid w:val="00935419"/>
    <w:rsid w:val="009376FD"/>
    <w:rsid w:val="0096662B"/>
    <w:rsid w:val="0097102B"/>
    <w:rsid w:val="009775B1"/>
    <w:rsid w:val="009A2C7B"/>
    <w:rsid w:val="009A6A2C"/>
    <w:rsid w:val="009A7EB1"/>
    <w:rsid w:val="009C2070"/>
    <w:rsid w:val="009C6AE3"/>
    <w:rsid w:val="009E609C"/>
    <w:rsid w:val="00A01619"/>
    <w:rsid w:val="00A03097"/>
    <w:rsid w:val="00A13906"/>
    <w:rsid w:val="00A1657F"/>
    <w:rsid w:val="00A169F3"/>
    <w:rsid w:val="00A36802"/>
    <w:rsid w:val="00A40F5C"/>
    <w:rsid w:val="00A4196A"/>
    <w:rsid w:val="00A60F76"/>
    <w:rsid w:val="00A63603"/>
    <w:rsid w:val="00A75263"/>
    <w:rsid w:val="00AA0E9B"/>
    <w:rsid w:val="00AC084F"/>
    <w:rsid w:val="00AC6D3A"/>
    <w:rsid w:val="00AD0319"/>
    <w:rsid w:val="00AD6FAA"/>
    <w:rsid w:val="00AF7820"/>
    <w:rsid w:val="00B07E69"/>
    <w:rsid w:val="00B169B0"/>
    <w:rsid w:val="00B4762B"/>
    <w:rsid w:val="00B62439"/>
    <w:rsid w:val="00B654B0"/>
    <w:rsid w:val="00B70128"/>
    <w:rsid w:val="00B70E93"/>
    <w:rsid w:val="00B72149"/>
    <w:rsid w:val="00B96C2A"/>
    <w:rsid w:val="00B974E3"/>
    <w:rsid w:val="00BA65CB"/>
    <w:rsid w:val="00BC6825"/>
    <w:rsid w:val="00BE084F"/>
    <w:rsid w:val="00BE30F4"/>
    <w:rsid w:val="00BF1077"/>
    <w:rsid w:val="00C01936"/>
    <w:rsid w:val="00C03C52"/>
    <w:rsid w:val="00C44B1F"/>
    <w:rsid w:val="00C44D3A"/>
    <w:rsid w:val="00C51DA2"/>
    <w:rsid w:val="00C61170"/>
    <w:rsid w:val="00C90111"/>
    <w:rsid w:val="00CA7388"/>
    <w:rsid w:val="00CA7EF3"/>
    <w:rsid w:val="00CC1CB3"/>
    <w:rsid w:val="00CC21D8"/>
    <w:rsid w:val="00CC364A"/>
    <w:rsid w:val="00CC4BFF"/>
    <w:rsid w:val="00CD26BF"/>
    <w:rsid w:val="00CE0FE6"/>
    <w:rsid w:val="00CE149C"/>
    <w:rsid w:val="00CF3541"/>
    <w:rsid w:val="00D048FE"/>
    <w:rsid w:val="00D327DC"/>
    <w:rsid w:val="00D83CBF"/>
    <w:rsid w:val="00D85145"/>
    <w:rsid w:val="00D90613"/>
    <w:rsid w:val="00D91F20"/>
    <w:rsid w:val="00DE0F63"/>
    <w:rsid w:val="00DE1EE5"/>
    <w:rsid w:val="00DE21D0"/>
    <w:rsid w:val="00DE2641"/>
    <w:rsid w:val="00DF0161"/>
    <w:rsid w:val="00DF17EC"/>
    <w:rsid w:val="00E21199"/>
    <w:rsid w:val="00E226AE"/>
    <w:rsid w:val="00E24896"/>
    <w:rsid w:val="00E3025D"/>
    <w:rsid w:val="00E8187A"/>
    <w:rsid w:val="00E868F8"/>
    <w:rsid w:val="00EA76F3"/>
    <w:rsid w:val="00ED2B80"/>
    <w:rsid w:val="00ED44B4"/>
    <w:rsid w:val="00EE1B54"/>
    <w:rsid w:val="00F07BEE"/>
    <w:rsid w:val="00F10A94"/>
    <w:rsid w:val="00F2158B"/>
    <w:rsid w:val="00F23889"/>
    <w:rsid w:val="00F23B35"/>
    <w:rsid w:val="00F302EF"/>
    <w:rsid w:val="00F3499E"/>
    <w:rsid w:val="00F4232D"/>
    <w:rsid w:val="00F54227"/>
    <w:rsid w:val="00F66A46"/>
    <w:rsid w:val="00F73706"/>
    <w:rsid w:val="00F860C8"/>
    <w:rsid w:val="00FA3E89"/>
    <w:rsid w:val="00FA79CE"/>
    <w:rsid w:val="00FB214C"/>
    <w:rsid w:val="00FD53C0"/>
    <w:rsid w:val="00FE7C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5C4C3B90"/>
  <w15:chartTrackingRefBased/>
  <w15:docId w15:val="{E39E63C1-9EF2-46E7-A3E9-6BED9C81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F23889"/>
    <w:pPr>
      <w:spacing w:before="120" w:after="120"/>
      <w:outlineLvl w:val="0"/>
    </w:pPr>
    <w:rPr>
      <w:rFonts w:ascii="Verdana" w:hAnsi="Verdana"/>
      <w:kern w:val="36"/>
      <w:sz w:val="30"/>
      <w:szCs w:val="30"/>
    </w:rPr>
  </w:style>
  <w:style w:type="paragraph" w:styleId="Heading2">
    <w:name w:val="heading 2"/>
    <w:basedOn w:val="Normal"/>
    <w:next w:val="Normal"/>
    <w:qFormat/>
    <w:rsid w:val="009376F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DE1EE5"/>
    <w:pPr>
      <w:spacing w:before="180" w:after="180"/>
    </w:pPr>
  </w:style>
  <w:style w:type="paragraph" w:customStyle="1" w:styleId="introduction">
    <w:name w:val="introduction"/>
    <w:basedOn w:val="Normal"/>
    <w:rsid w:val="00F23889"/>
    <w:pPr>
      <w:spacing w:before="180" w:after="180"/>
    </w:pPr>
    <w:rPr>
      <w:i/>
      <w:iCs/>
      <w:sz w:val="26"/>
      <w:szCs w:val="26"/>
    </w:rPr>
  </w:style>
  <w:style w:type="character" w:styleId="Strong">
    <w:name w:val="Strong"/>
    <w:uiPriority w:val="22"/>
    <w:qFormat/>
    <w:rsid w:val="00F23889"/>
    <w:rPr>
      <w:b/>
      <w:bCs/>
    </w:rPr>
  </w:style>
  <w:style w:type="character" w:customStyle="1" w:styleId="date1">
    <w:name w:val="date1"/>
    <w:rsid w:val="00F23889"/>
    <w:rPr>
      <w:vanish w:val="0"/>
      <w:webHidden w:val="0"/>
      <w:color w:val="7F786D"/>
      <w:sz w:val="20"/>
      <w:szCs w:val="20"/>
      <w:specVanish w:val="0"/>
    </w:rPr>
  </w:style>
  <w:style w:type="character" w:customStyle="1" w:styleId="hps">
    <w:name w:val="hps"/>
    <w:basedOn w:val="DefaultParagraphFont"/>
    <w:rsid w:val="0041152D"/>
  </w:style>
  <w:style w:type="character" w:customStyle="1" w:styleId="4">
    <w:name w:val="Основен текст (4)_"/>
    <w:link w:val="40"/>
    <w:rsid w:val="00585CD2"/>
    <w:rPr>
      <w:sz w:val="27"/>
      <w:szCs w:val="27"/>
      <w:shd w:val="clear" w:color="auto" w:fill="FFFFFF"/>
    </w:rPr>
  </w:style>
  <w:style w:type="paragraph" w:customStyle="1" w:styleId="40">
    <w:name w:val="Основен текст (4)"/>
    <w:basedOn w:val="Normal"/>
    <w:link w:val="4"/>
    <w:rsid w:val="00585CD2"/>
    <w:pPr>
      <w:shd w:val="clear" w:color="auto" w:fill="FFFFFF"/>
      <w:spacing w:before="600" w:after="120" w:line="0" w:lineRule="atLeast"/>
      <w:jc w:val="center"/>
    </w:pPr>
    <w:rPr>
      <w:sz w:val="27"/>
      <w:szCs w:val="27"/>
      <w:lang w:val="x-none" w:eastAsia="x-none"/>
    </w:rPr>
  </w:style>
  <w:style w:type="character" w:styleId="Hyperlink">
    <w:name w:val="Hyperlink"/>
    <w:uiPriority w:val="99"/>
    <w:unhideWhenUsed/>
    <w:rsid w:val="00FA79CE"/>
    <w:rPr>
      <w:color w:val="0000FF"/>
      <w:u w:val="single"/>
    </w:rPr>
  </w:style>
  <w:style w:type="table" w:styleId="TableGrid">
    <w:name w:val="Table Grid"/>
    <w:basedOn w:val="TableNormal"/>
    <w:uiPriority w:val="59"/>
    <w:rsid w:val="0072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DC8"/>
    <w:pPr>
      <w:tabs>
        <w:tab w:val="center" w:pos="4536"/>
        <w:tab w:val="right" w:pos="9072"/>
      </w:tabs>
    </w:pPr>
    <w:rPr>
      <w:lang w:val="x-none" w:eastAsia="x-none"/>
    </w:rPr>
  </w:style>
  <w:style w:type="character" w:customStyle="1" w:styleId="HeaderChar">
    <w:name w:val="Header Char"/>
    <w:link w:val="Header"/>
    <w:uiPriority w:val="99"/>
    <w:rsid w:val="00481DC8"/>
    <w:rPr>
      <w:sz w:val="24"/>
      <w:szCs w:val="24"/>
    </w:rPr>
  </w:style>
  <w:style w:type="paragraph" w:styleId="Footer">
    <w:name w:val="footer"/>
    <w:basedOn w:val="Normal"/>
    <w:link w:val="FooterChar"/>
    <w:uiPriority w:val="99"/>
    <w:unhideWhenUsed/>
    <w:rsid w:val="00481DC8"/>
    <w:pPr>
      <w:tabs>
        <w:tab w:val="center" w:pos="4536"/>
        <w:tab w:val="right" w:pos="9072"/>
      </w:tabs>
    </w:pPr>
    <w:rPr>
      <w:lang w:val="x-none" w:eastAsia="x-none"/>
    </w:rPr>
  </w:style>
  <w:style w:type="character" w:customStyle="1" w:styleId="FooterChar">
    <w:name w:val="Footer Char"/>
    <w:link w:val="Footer"/>
    <w:uiPriority w:val="99"/>
    <w:rsid w:val="00481DC8"/>
    <w:rPr>
      <w:sz w:val="24"/>
      <w:szCs w:val="24"/>
    </w:rPr>
  </w:style>
  <w:style w:type="paragraph" w:styleId="BalloonText">
    <w:name w:val="Balloon Text"/>
    <w:basedOn w:val="Normal"/>
    <w:link w:val="BalloonTextChar"/>
    <w:uiPriority w:val="99"/>
    <w:semiHidden/>
    <w:unhideWhenUsed/>
    <w:rsid w:val="00F54227"/>
    <w:rPr>
      <w:rFonts w:ascii="Tahoma" w:hAnsi="Tahoma"/>
      <w:sz w:val="16"/>
      <w:szCs w:val="16"/>
    </w:rPr>
  </w:style>
  <w:style w:type="character" w:customStyle="1" w:styleId="BalloonTextChar">
    <w:name w:val="Balloon Text Char"/>
    <w:link w:val="BalloonText"/>
    <w:uiPriority w:val="99"/>
    <w:semiHidden/>
    <w:rsid w:val="00F54227"/>
    <w:rPr>
      <w:rFonts w:ascii="Tahoma" w:hAnsi="Tahoma" w:cs="Tahoma"/>
      <w:sz w:val="16"/>
      <w:szCs w:val="16"/>
      <w:lang w:val="bg-BG" w:eastAsia="bg-BG"/>
    </w:rPr>
  </w:style>
  <w:style w:type="character" w:customStyle="1" w:styleId="3">
    <w:name w:val="Основен текст (3)_"/>
    <w:link w:val="30"/>
    <w:rsid w:val="00F54227"/>
    <w:rPr>
      <w:rFonts w:ascii="Verdana" w:eastAsia="Verdana" w:hAnsi="Verdana" w:cs="Verdana"/>
      <w:sz w:val="18"/>
      <w:szCs w:val="18"/>
      <w:shd w:val="clear" w:color="auto" w:fill="FFFFFF"/>
    </w:rPr>
  </w:style>
  <w:style w:type="paragraph" w:customStyle="1" w:styleId="30">
    <w:name w:val="Основен текст (3)"/>
    <w:basedOn w:val="Normal"/>
    <w:link w:val="3"/>
    <w:rsid w:val="00F54227"/>
    <w:pPr>
      <w:shd w:val="clear" w:color="auto" w:fill="FFFFFF"/>
      <w:spacing w:after="600" w:line="235" w:lineRule="exact"/>
      <w:jc w:val="both"/>
    </w:pPr>
    <w:rPr>
      <w:rFonts w:ascii="Verdana" w:eastAsia="Verdana" w:hAnsi="Verdana"/>
      <w:sz w:val="18"/>
      <w:szCs w:val="18"/>
      <w:lang w:val="x-none" w:eastAsia="x-none"/>
    </w:rPr>
  </w:style>
  <w:style w:type="paragraph" w:styleId="BodyTextIndent">
    <w:name w:val="Body Text Indent"/>
    <w:basedOn w:val="Normal"/>
    <w:link w:val="BodyTextIndentChar"/>
    <w:semiHidden/>
    <w:unhideWhenUsed/>
    <w:rsid w:val="00D83CBF"/>
    <w:pPr>
      <w:ind w:firstLine="709"/>
      <w:jc w:val="both"/>
    </w:pPr>
    <w:rPr>
      <w:szCs w:val="20"/>
      <w:lang w:eastAsia="x-none"/>
    </w:rPr>
  </w:style>
  <w:style w:type="character" w:customStyle="1" w:styleId="BodyTextIndentChar">
    <w:name w:val="Body Text Indent Char"/>
    <w:link w:val="BodyTextIndent"/>
    <w:semiHidden/>
    <w:rsid w:val="00D83CBF"/>
    <w:rPr>
      <w:sz w:val="24"/>
      <w:lang w:val="bg-BG"/>
    </w:rPr>
  </w:style>
  <w:style w:type="character" w:styleId="FollowedHyperlink">
    <w:name w:val="FollowedHyperlink"/>
    <w:uiPriority w:val="99"/>
    <w:semiHidden/>
    <w:unhideWhenUsed/>
    <w:rsid w:val="003F389A"/>
    <w:rPr>
      <w:color w:val="954F72"/>
      <w:u w:val="single"/>
    </w:rPr>
  </w:style>
  <w:style w:type="character" w:customStyle="1" w:styleId="apple-converted-space">
    <w:name w:val="apple-converted-space"/>
    <w:rsid w:val="00A13906"/>
  </w:style>
  <w:style w:type="paragraph" w:styleId="ListParagraph">
    <w:name w:val="List Paragraph"/>
    <w:basedOn w:val="Normal"/>
    <w:uiPriority w:val="34"/>
    <w:qFormat/>
    <w:rsid w:val="0021296E"/>
    <w:pPr>
      <w:ind w:left="720"/>
    </w:pPr>
  </w:style>
  <w:style w:type="character" w:customStyle="1" w:styleId="2">
    <w:name w:val="Основен текст (2)_"/>
    <w:link w:val="20"/>
    <w:rsid w:val="00343B4D"/>
    <w:rPr>
      <w:rFonts w:ascii="Verdana" w:eastAsia="Verdana" w:hAnsi="Verdana" w:cs="Verdana"/>
      <w:sz w:val="18"/>
      <w:szCs w:val="18"/>
      <w:shd w:val="clear" w:color="auto" w:fill="FFFFFF"/>
    </w:rPr>
  </w:style>
  <w:style w:type="character" w:customStyle="1" w:styleId="6">
    <w:name w:val="Основен текст (6)_"/>
    <w:link w:val="60"/>
    <w:rsid w:val="00343B4D"/>
    <w:rPr>
      <w:rFonts w:ascii="Verdana" w:eastAsia="Verdana" w:hAnsi="Verdana" w:cs="Verdana"/>
      <w:sz w:val="13"/>
      <w:szCs w:val="13"/>
      <w:shd w:val="clear" w:color="auto" w:fill="FFFFFF"/>
    </w:rPr>
  </w:style>
  <w:style w:type="character" w:customStyle="1" w:styleId="a">
    <w:name w:val="Основен текст_"/>
    <w:link w:val="1"/>
    <w:rsid w:val="00343B4D"/>
    <w:rPr>
      <w:rFonts w:ascii="Verdana" w:eastAsia="Verdana" w:hAnsi="Verdana" w:cs="Verdana"/>
      <w:sz w:val="17"/>
      <w:szCs w:val="17"/>
      <w:shd w:val="clear" w:color="auto" w:fill="FFFFFF"/>
    </w:rPr>
  </w:style>
  <w:style w:type="character" w:customStyle="1" w:styleId="8">
    <w:name w:val="Основен текст (8)_"/>
    <w:link w:val="80"/>
    <w:rsid w:val="00343B4D"/>
    <w:rPr>
      <w:rFonts w:ascii="Verdana" w:eastAsia="Verdana" w:hAnsi="Verdana" w:cs="Verdana"/>
      <w:sz w:val="23"/>
      <w:szCs w:val="23"/>
      <w:shd w:val="clear" w:color="auto" w:fill="FFFFFF"/>
    </w:rPr>
  </w:style>
  <w:style w:type="paragraph" w:customStyle="1" w:styleId="20">
    <w:name w:val="Основен текст (2)"/>
    <w:basedOn w:val="Normal"/>
    <w:link w:val="2"/>
    <w:rsid w:val="00343B4D"/>
    <w:pPr>
      <w:shd w:val="clear" w:color="auto" w:fill="FFFFFF"/>
      <w:spacing w:line="235" w:lineRule="exact"/>
    </w:pPr>
    <w:rPr>
      <w:rFonts w:ascii="Verdana" w:eastAsia="Verdana" w:hAnsi="Verdana" w:cs="Verdana"/>
      <w:sz w:val="18"/>
      <w:szCs w:val="18"/>
      <w:lang w:val="en-US" w:eastAsia="en-US"/>
    </w:rPr>
  </w:style>
  <w:style w:type="paragraph" w:customStyle="1" w:styleId="60">
    <w:name w:val="Основен текст (6)"/>
    <w:basedOn w:val="Normal"/>
    <w:link w:val="6"/>
    <w:rsid w:val="00343B4D"/>
    <w:pPr>
      <w:shd w:val="clear" w:color="auto" w:fill="FFFFFF"/>
      <w:spacing w:before="1320" w:line="0" w:lineRule="atLeast"/>
      <w:jc w:val="both"/>
    </w:pPr>
    <w:rPr>
      <w:rFonts w:ascii="Verdana" w:eastAsia="Verdana" w:hAnsi="Verdana" w:cs="Verdana"/>
      <w:sz w:val="13"/>
      <w:szCs w:val="13"/>
      <w:lang w:val="en-US" w:eastAsia="en-US"/>
    </w:rPr>
  </w:style>
  <w:style w:type="paragraph" w:customStyle="1" w:styleId="1">
    <w:name w:val="Основен текст1"/>
    <w:basedOn w:val="Normal"/>
    <w:link w:val="a"/>
    <w:rsid w:val="00343B4D"/>
    <w:pPr>
      <w:shd w:val="clear" w:color="auto" w:fill="FFFFFF"/>
      <w:spacing w:line="211" w:lineRule="exact"/>
    </w:pPr>
    <w:rPr>
      <w:rFonts w:ascii="Verdana" w:eastAsia="Verdana" w:hAnsi="Verdana" w:cs="Verdana"/>
      <w:sz w:val="17"/>
      <w:szCs w:val="17"/>
      <w:lang w:val="en-US" w:eastAsia="en-US"/>
    </w:rPr>
  </w:style>
  <w:style w:type="paragraph" w:customStyle="1" w:styleId="80">
    <w:name w:val="Основен текст (8)"/>
    <w:basedOn w:val="Normal"/>
    <w:link w:val="8"/>
    <w:rsid w:val="00343B4D"/>
    <w:pPr>
      <w:shd w:val="clear" w:color="auto" w:fill="FFFFFF"/>
      <w:spacing w:line="0" w:lineRule="atLeast"/>
    </w:pPr>
    <w:rPr>
      <w:rFonts w:ascii="Verdana" w:eastAsia="Verdana" w:hAnsi="Verdana" w:cs="Verdana"/>
      <w:sz w:val="23"/>
      <w:szCs w:val="23"/>
      <w:lang w:val="en-US" w:eastAsia="en-US"/>
    </w:rPr>
  </w:style>
  <w:style w:type="paragraph" w:styleId="Revision">
    <w:name w:val="Revision"/>
    <w:hidden/>
    <w:uiPriority w:val="99"/>
    <w:semiHidden/>
    <w:rsid w:val="004018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538">
      <w:bodyDiv w:val="1"/>
      <w:marLeft w:val="0"/>
      <w:marRight w:val="0"/>
      <w:marTop w:val="0"/>
      <w:marBottom w:val="0"/>
      <w:divBdr>
        <w:top w:val="none" w:sz="0" w:space="0" w:color="auto"/>
        <w:left w:val="none" w:sz="0" w:space="0" w:color="auto"/>
        <w:bottom w:val="none" w:sz="0" w:space="0" w:color="auto"/>
        <w:right w:val="none" w:sz="0" w:space="0" w:color="auto"/>
      </w:divBdr>
    </w:div>
    <w:div w:id="382602912">
      <w:bodyDiv w:val="1"/>
      <w:marLeft w:val="0"/>
      <w:marRight w:val="0"/>
      <w:marTop w:val="0"/>
      <w:marBottom w:val="0"/>
      <w:divBdr>
        <w:top w:val="none" w:sz="0" w:space="0" w:color="auto"/>
        <w:left w:val="none" w:sz="0" w:space="0" w:color="auto"/>
        <w:bottom w:val="none" w:sz="0" w:space="0" w:color="auto"/>
        <w:right w:val="none" w:sz="0" w:space="0" w:color="auto"/>
      </w:divBdr>
    </w:div>
    <w:div w:id="639190922">
      <w:bodyDiv w:val="1"/>
      <w:marLeft w:val="0"/>
      <w:marRight w:val="0"/>
      <w:marTop w:val="0"/>
      <w:marBottom w:val="0"/>
      <w:divBdr>
        <w:top w:val="none" w:sz="0" w:space="0" w:color="auto"/>
        <w:left w:val="none" w:sz="0" w:space="0" w:color="auto"/>
        <w:bottom w:val="none" w:sz="0" w:space="0" w:color="auto"/>
        <w:right w:val="none" w:sz="0" w:space="0" w:color="auto"/>
      </w:divBdr>
    </w:div>
    <w:div w:id="726143337">
      <w:bodyDiv w:val="1"/>
      <w:marLeft w:val="0"/>
      <w:marRight w:val="0"/>
      <w:marTop w:val="0"/>
      <w:marBottom w:val="0"/>
      <w:divBdr>
        <w:top w:val="none" w:sz="0" w:space="0" w:color="auto"/>
        <w:left w:val="none" w:sz="0" w:space="0" w:color="auto"/>
        <w:bottom w:val="none" w:sz="0" w:space="0" w:color="auto"/>
        <w:right w:val="none" w:sz="0" w:space="0" w:color="auto"/>
      </w:divBdr>
      <w:divsChild>
        <w:div w:id="1388988899">
          <w:marLeft w:val="0"/>
          <w:marRight w:val="0"/>
          <w:marTop w:val="0"/>
          <w:marBottom w:val="0"/>
          <w:divBdr>
            <w:top w:val="none" w:sz="0" w:space="0" w:color="auto"/>
            <w:left w:val="none" w:sz="0" w:space="0" w:color="auto"/>
            <w:bottom w:val="none" w:sz="0" w:space="0" w:color="auto"/>
            <w:right w:val="none" w:sz="0" w:space="0" w:color="auto"/>
          </w:divBdr>
          <w:divsChild>
            <w:div w:id="528030544">
              <w:marLeft w:val="0"/>
              <w:marRight w:val="0"/>
              <w:marTop w:val="0"/>
              <w:marBottom w:val="0"/>
              <w:divBdr>
                <w:top w:val="none" w:sz="0" w:space="0" w:color="auto"/>
                <w:left w:val="none" w:sz="0" w:space="0" w:color="auto"/>
                <w:bottom w:val="none" w:sz="0" w:space="0" w:color="auto"/>
                <w:right w:val="none" w:sz="0" w:space="0" w:color="auto"/>
              </w:divBdr>
              <w:divsChild>
                <w:div w:id="560823082">
                  <w:marLeft w:val="90"/>
                  <w:marRight w:val="0"/>
                  <w:marTop w:val="0"/>
                  <w:marBottom w:val="0"/>
                  <w:divBdr>
                    <w:top w:val="none" w:sz="0" w:space="0" w:color="auto"/>
                    <w:left w:val="none" w:sz="0" w:space="0" w:color="auto"/>
                    <w:bottom w:val="none" w:sz="0" w:space="0" w:color="auto"/>
                    <w:right w:val="none" w:sz="0" w:space="0" w:color="auto"/>
                  </w:divBdr>
                  <w:divsChild>
                    <w:div w:id="1351251750">
                      <w:marLeft w:val="675"/>
                      <w:marRight w:val="675"/>
                      <w:marTop w:val="75"/>
                      <w:marBottom w:val="75"/>
                      <w:divBdr>
                        <w:top w:val="none" w:sz="0" w:space="0" w:color="auto"/>
                        <w:left w:val="none" w:sz="0" w:space="0" w:color="auto"/>
                        <w:bottom w:val="none" w:sz="0" w:space="0" w:color="auto"/>
                        <w:right w:val="none" w:sz="0" w:space="0" w:color="auto"/>
                      </w:divBdr>
                      <w:divsChild>
                        <w:div w:id="122650491">
                          <w:marLeft w:val="0"/>
                          <w:marRight w:val="0"/>
                          <w:marTop w:val="0"/>
                          <w:marBottom w:val="225"/>
                          <w:divBdr>
                            <w:top w:val="none" w:sz="0" w:space="0" w:color="auto"/>
                            <w:left w:val="none" w:sz="0" w:space="0" w:color="auto"/>
                            <w:bottom w:val="none" w:sz="0" w:space="0" w:color="auto"/>
                            <w:right w:val="none" w:sz="0" w:space="0" w:color="auto"/>
                          </w:divBdr>
                        </w:div>
                      </w:divsChild>
                    </w:div>
                    <w:div w:id="1457724845">
                      <w:marLeft w:val="0"/>
                      <w:marRight w:val="75"/>
                      <w:marTop w:val="45"/>
                      <w:marBottom w:val="75"/>
                      <w:divBdr>
                        <w:top w:val="none" w:sz="0" w:space="0" w:color="auto"/>
                        <w:left w:val="none" w:sz="0" w:space="0" w:color="auto"/>
                        <w:bottom w:val="none" w:sz="0" w:space="0" w:color="auto"/>
                        <w:right w:val="none" w:sz="0" w:space="0" w:color="auto"/>
                      </w:divBdr>
                      <w:divsChild>
                        <w:div w:id="621884101">
                          <w:marLeft w:val="0"/>
                          <w:marRight w:val="0"/>
                          <w:marTop w:val="0"/>
                          <w:marBottom w:val="0"/>
                          <w:divBdr>
                            <w:top w:val="none" w:sz="0" w:space="0" w:color="auto"/>
                            <w:left w:val="none" w:sz="0" w:space="0" w:color="auto"/>
                            <w:bottom w:val="none" w:sz="0" w:space="0" w:color="auto"/>
                            <w:right w:val="none" w:sz="0" w:space="0" w:color="auto"/>
                          </w:divBdr>
                        </w:div>
                        <w:div w:id="16696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9625">
      <w:bodyDiv w:val="1"/>
      <w:marLeft w:val="0"/>
      <w:marRight w:val="0"/>
      <w:marTop w:val="0"/>
      <w:marBottom w:val="0"/>
      <w:divBdr>
        <w:top w:val="none" w:sz="0" w:space="0" w:color="auto"/>
        <w:left w:val="none" w:sz="0" w:space="0" w:color="auto"/>
        <w:bottom w:val="none" w:sz="0" w:space="0" w:color="auto"/>
        <w:right w:val="none" w:sz="0" w:space="0" w:color="auto"/>
      </w:divBdr>
    </w:div>
    <w:div w:id="1070349474">
      <w:bodyDiv w:val="1"/>
      <w:marLeft w:val="0"/>
      <w:marRight w:val="0"/>
      <w:marTop w:val="0"/>
      <w:marBottom w:val="0"/>
      <w:divBdr>
        <w:top w:val="none" w:sz="0" w:space="0" w:color="auto"/>
        <w:left w:val="none" w:sz="0" w:space="0" w:color="auto"/>
        <w:bottom w:val="none" w:sz="0" w:space="0" w:color="auto"/>
        <w:right w:val="none" w:sz="0" w:space="0" w:color="auto"/>
      </w:divBdr>
    </w:div>
    <w:div w:id="1372145149">
      <w:bodyDiv w:val="1"/>
      <w:marLeft w:val="0"/>
      <w:marRight w:val="0"/>
      <w:marTop w:val="0"/>
      <w:marBottom w:val="0"/>
      <w:divBdr>
        <w:top w:val="none" w:sz="0" w:space="0" w:color="auto"/>
        <w:left w:val="none" w:sz="0" w:space="0" w:color="auto"/>
        <w:bottom w:val="none" w:sz="0" w:space="0" w:color="auto"/>
        <w:right w:val="none" w:sz="0" w:space="0" w:color="auto"/>
      </w:divBdr>
      <w:divsChild>
        <w:div w:id="786656242">
          <w:marLeft w:val="0"/>
          <w:marRight w:val="0"/>
          <w:marTop w:val="0"/>
          <w:marBottom w:val="0"/>
          <w:divBdr>
            <w:top w:val="none" w:sz="0" w:space="0" w:color="auto"/>
            <w:left w:val="none" w:sz="0" w:space="0" w:color="auto"/>
            <w:bottom w:val="none" w:sz="0" w:space="0" w:color="auto"/>
            <w:right w:val="none" w:sz="0" w:space="0" w:color="auto"/>
          </w:divBdr>
          <w:divsChild>
            <w:div w:id="26369779">
              <w:marLeft w:val="0"/>
              <w:marRight w:val="0"/>
              <w:marTop w:val="0"/>
              <w:marBottom w:val="0"/>
              <w:divBdr>
                <w:top w:val="none" w:sz="0" w:space="0" w:color="auto"/>
                <w:left w:val="none" w:sz="0" w:space="0" w:color="auto"/>
                <w:bottom w:val="none" w:sz="0" w:space="0" w:color="auto"/>
                <w:right w:val="none" w:sz="0" w:space="0" w:color="auto"/>
              </w:divBdr>
              <w:divsChild>
                <w:div w:id="1325476727">
                  <w:marLeft w:val="90"/>
                  <w:marRight w:val="0"/>
                  <w:marTop w:val="0"/>
                  <w:marBottom w:val="0"/>
                  <w:divBdr>
                    <w:top w:val="none" w:sz="0" w:space="0" w:color="auto"/>
                    <w:left w:val="none" w:sz="0" w:space="0" w:color="auto"/>
                    <w:bottom w:val="none" w:sz="0" w:space="0" w:color="auto"/>
                    <w:right w:val="none" w:sz="0" w:space="0" w:color="auto"/>
                  </w:divBdr>
                  <w:divsChild>
                    <w:div w:id="1276404254">
                      <w:marLeft w:val="675"/>
                      <w:marRight w:val="6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1182314">
      <w:bodyDiv w:val="1"/>
      <w:marLeft w:val="0"/>
      <w:marRight w:val="0"/>
      <w:marTop w:val="0"/>
      <w:marBottom w:val="0"/>
      <w:divBdr>
        <w:top w:val="none" w:sz="0" w:space="0" w:color="auto"/>
        <w:left w:val="none" w:sz="0" w:space="0" w:color="auto"/>
        <w:bottom w:val="none" w:sz="0" w:space="0" w:color="auto"/>
        <w:right w:val="none" w:sz="0" w:space="0" w:color="auto"/>
      </w:divBdr>
      <w:divsChild>
        <w:div w:id="1955599107">
          <w:marLeft w:val="0"/>
          <w:marRight w:val="0"/>
          <w:marTop w:val="0"/>
          <w:marBottom w:val="0"/>
          <w:divBdr>
            <w:top w:val="none" w:sz="0" w:space="0" w:color="auto"/>
            <w:left w:val="none" w:sz="0" w:space="0" w:color="auto"/>
            <w:bottom w:val="none" w:sz="0" w:space="0" w:color="auto"/>
            <w:right w:val="none" w:sz="0" w:space="0" w:color="auto"/>
          </w:divBdr>
          <w:divsChild>
            <w:div w:id="1759447898">
              <w:marLeft w:val="0"/>
              <w:marRight w:val="0"/>
              <w:marTop w:val="0"/>
              <w:marBottom w:val="0"/>
              <w:divBdr>
                <w:top w:val="none" w:sz="0" w:space="0" w:color="auto"/>
                <w:left w:val="none" w:sz="0" w:space="0" w:color="auto"/>
                <w:bottom w:val="none" w:sz="0" w:space="0" w:color="auto"/>
                <w:right w:val="none" w:sz="0" w:space="0" w:color="auto"/>
              </w:divBdr>
              <w:divsChild>
                <w:div w:id="1901480077">
                  <w:marLeft w:val="90"/>
                  <w:marRight w:val="0"/>
                  <w:marTop w:val="0"/>
                  <w:marBottom w:val="0"/>
                  <w:divBdr>
                    <w:top w:val="none" w:sz="0" w:space="0" w:color="auto"/>
                    <w:left w:val="none" w:sz="0" w:space="0" w:color="auto"/>
                    <w:bottom w:val="none" w:sz="0" w:space="0" w:color="auto"/>
                    <w:right w:val="none" w:sz="0" w:space="0" w:color="auto"/>
                  </w:divBdr>
                  <w:divsChild>
                    <w:div w:id="1522475080">
                      <w:marLeft w:val="675"/>
                      <w:marRight w:val="6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7667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lac.org/latest_ilac_news/iso-151892022-for-medical-labs-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7AD9-CCB0-4C20-ACB2-58E9B9E2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1683</Words>
  <Characters>9596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ПОЛИТИКА ЗА ПРЕХОД НА ИА “БЪЛГАРСКА СЛУЖБА ЗА АКРЕДИТАЦИЯ”</vt:lpstr>
    </vt:vector>
  </TitlesOfParts>
  <Company>bs</Company>
  <LinksUpToDate>false</LinksUpToDate>
  <CharactersWithSpaces>11257</CharactersWithSpaces>
  <SharedDoc>false</SharedDoc>
  <HLinks>
    <vt:vector size="12" baseType="variant">
      <vt:variant>
        <vt:i4>131081</vt:i4>
      </vt:variant>
      <vt:variant>
        <vt:i4>3</vt:i4>
      </vt:variant>
      <vt:variant>
        <vt:i4>0</vt:i4>
      </vt:variant>
      <vt:variant>
        <vt:i4>5</vt:i4>
      </vt:variant>
      <vt:variant>
        <vt:lpwstr>https://ilac.org/latest_ilac_news/iso-151892022-for-medical-labs-published/</vt:lpwstr>
      </vt:variant>
      <vt:variant>
        <vt:lpwstr/>
      </vt:variant>
      <vt:variant>
        <vt:i4>6553662</vt:i4>
      </vt:variant>
      <vt:variant>
        <vt:i4>0</vt:i4>
      </vt:variant>
      <vt:variant>
        <vt:i4>0</vt:i4>
      </vt:variant>
      <vt:variant>
        <vt:i4>5</vt:i4>
      </vt:variant>
      <vt:variant>
        <vt:lpwstr>https://www.iso.org/standard/76677.html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ЗА ПРЕХОД НА ИА “БЪЛГАРСКА СЛУЖБА ЗА АКРЕДИТАЦИЯ”</dc:title>
  <dc:subject/>
  <dc:creator>bas-31</dc:creator>
  <cp:keywords/>
  <cp:lastModifiedBy>Daniela Mihaylova</cp:lastModifiedBy>
  <cp:revision>2</cp:revision>
  <cp:lastPrinted>2018-01-29T10:09:00Z</cp:lastPrinted>
  <dcterms:created xsi:type="dcterms:W3CDTF">2023-02-15T09:28:00Z</dcterms:created>
  <dcterms:modified xsi:type="dcterms:W3CDTF">2023-02-15T09:28:00Z</dcterms:modified>
</cp:coreProperties>
</file>